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0B2440"/>
          <w:sz w:val="30"/>
          <w:szCs w:val="30"/>
          <w:rFonts w:ascii="Calibri" w:cs="Calibri" w:eastAsia="Calibri" w:hAnsi="Calibri"/>
        </w:rPr>
        <w:t xml:space="preserve">FORTIFY</w:t>
      </w:r>
      <w:r>
        <w:rPr>
          <w:b/>
          <w:bCs/>
          <w:color w:val="12A5DB"/>
          <w:sz w:val="30"/>
          <w:szCs w:val="30"/>
          <w:rFonts w:ascii="Calibri" w:cs="Calibri" w:eastAsia="Calibri" w:hAnsi="Calibri"/>
        </w:rPr>
        <w:t xml:space="preserve"> AI</w:t>
      </w:r>
    </w:p>
    <w:p>
      <w:pPr>
        <w:pBdr>
          <w:bottom w:val="single" w:color="12A5DB" w:sz="6"/>
        </w:pBdr>
        <w:spacing w:before="60" w:after="160"/>
      </w:pPr>
    </w:p>
    <w:p>
      <w:pPr>
        <w:spacing w:after="40"/>
      </w:pPr>
      <w:r>
        <w:rPr>
          <w:b/>
          <w:bCs/>
          <w:color w:val="12A5DB"/>
          <w:sz w:val="17"/>
          <w:szCs w:val="17"/>
          <w:caps/>
          <w:rFonts w:ascii="Calibri" w:cs="Calibri" w:eastAsia="Calibri" w:hAnsi="Calibri"/>
          <w:spacing w:val="40"/>
        </w:rPr>
        <w:t xml:space="preserve">IMPLEMENTATION CHECKLIST</w:t>
      </w:r>
    </w:p>
    <w:p>
      <w:pPr>
        <w:spacing w:after="120"/>
      </w:pPr>
      <w:r>
        <w:rPr>
          <w:b/>
          <w:bCs/>
          <w:color w:val="0B2440"/>
          <w:sz w:val="32"/>
          <w:szCs w:val="32"/>
          <w:rFonts w:ascii="Calibri" w:cs="Calibri" w:eastAsia="Calibri" w:hAnsi="Calibri"/>
        </w:rPr>
        <w:t xml:space="preserve">AI Policy Rollout — 30-Day Plan</w:t>
      </w:r>
    </w:p>
    <w:p>
      <w:pPr>
        <w:spacing w:after="220" w:line="276" w:before="0"/>
      </w:pPr>
      <w:r>
        <w:rPr>
          <w:color w:val="3C4A57"/>
          <w:sz w:val="21"/>
          <w:szCs w:val="21"/>
          <w:rFonts w:ascii="Calibri" w:cs="Calibri" w:eastAsia="Calibri" w:hAnsi="Calibri"/>
        </w:rPr>
        <w:t xml:space="preserve">Work top to bottom. Most organizations complete this in about 30 days. Fortify AI can run the enforcement steps (Discovery and blocking) for you as part of any managed plan.</w:t>
      </w:r>
    </w:p>
    <w:p>
      <w:pPr>
        <w:pStyle w:val="Heading2"/>
        <w:keepNext/>
        <w:keepLines/>
        <w:spacing w:before="260" w:after="90"/>
      </w:pPr>
      <w:r>
        <w:rPr>
          <w:b/>
          <w:bCs/>
          <w:color w:val="0B2440"/>
          <w:sz w:val="24"/>
          <w:szCs w:val="24"/>
          <w:rFonts w:ascii="Calibri" w:cs="Calibri" w:eastAsia="Calibri" w:hAnsi="Calibri"/>
        </w:rPr>
        <w:t xml:space="preserve">Phase 1 — Assess (Days 1–5)</w:t>
      </w:r>
    </w:p>
    <w:p>
      <w:pPr>
        <w:spacing w:after="100" w:line="276" w:before="0"/>
      </w:pPr>
      <w:r>
        <w:rPr>
          <w:i/>
          <w:iCs/>
          <w:color w:val="6B7C8B"/>
          <w:sz w:val="21"/>
          <w:szCs w:val="21"/>
          <w:rFonts w:ascii="Calibri" w:cs="Calibri" w:eastAsia="Calibri" w:hAnsi="Calibri"/>
        </w:rPr>
        <w:t xml:space="preserve">See what is actually happening before you write a rule.</w:t>
      </w:r>
    </w:p>
    <w:tbl>
      <w:tblPr>
        <w:tblW w:type="dxa" w:w="9360"/>
        <w:tblBorders>
          <w:top w:val="single" w:color="DCE4EA" w:sz="2"/>
          <w:left w:val="single" w:color="DCE4EA" w:sz="2"/>
          <w:bottom w:val="single" w:color="DCE4EA" w:sz="2"/>
          <w:right w:val="single" w:color="DCE4EA" w:sz="2"/>
          <w:insideH w:val="single" w:color="DCE4EA" w:sz="2"/>
          <w:insideV w:val="single" w:color="DCE4EA" w:sz="2"/>
        </w:tblBorders>
      </w:tblPr>
      <w:tblGrid>
        <w:gridCol w:w="560"/>
        <w:gridCol w:w="6100"/>
        <w:gridCol w:w="1500"/>
        <w:gridCol w:w="1200"/>
      </w:tblGrid>
      <w:tr>
        <w:trPr>
          <w:cantSplit/>
          <w:tblHeader/>
        </w:trPr>
        <w:tc>
          <w:tcPr>
            <w:tcW w:type="dxa" w:w="56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✓</w:t>
            </w:r>
          </w:p>
        </w:tc>
        <w:tc>
          <w:tcPr>
            <w:tcW w:type="dxa" w:w="61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Task</w:t>
            </w:r>
          </w:p>
        </w:tc>
        <w:tc>
          <w:tcPr>
            <w:tcW w:type="dxa" w:w="15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Owner</w:t>
            </w:r>
          </w:p>
        </w:tc>
        <w:tc>
          <w:tcPr>
            <w:tcW w:type="dxa" w:w="12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Target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Run a Shadow AI discovery to inventory which AI tools and LLMs are in use — company and personal accounts.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List the data types your organization handles (client, patient, financial, PII, regulated).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List the outside vendors who touch your data.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Identify the regulations that apply (HIPAA, GDPR/CCPA, PCI, CMMC).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</w:tbl>
    <w:p>
      <w:pPr>
        <w:spacing w:after="160"/>
      </w:pPr>
      <w:r>
        <w:rPr>
          <w:color w:val="3C4A57"/>
          <w:sz w:val="8"/>
          <w:szCs w:val="8"/>
          <w:rFonts w:ascii="Calibri" w:cs="Calibri" w:eastAsia="Calibri" w:hAnsi="Calibri"/>
        </w:rPr>
        <w:t xml:space="preserve"> </w:t>
      </w:r>
    </w:p>
    <w:p>
      <w:pPr>
        <w:pStyle w:val="Heading2"/>
        <w:keepNext/>
        <w:keepLines/>
        <w:spacing w:before="260" w:after="90"/>
      </w:pPr>
      <w:r>
        <w:rPr>
          <w:b/>
          <w:bCs/>
          <w:color w:val="0B2440"/>
          <w:sz w:val="24"/>
          <w:szCs w:val="24"/>
          <w:rFonts w:ascii="Calibri" w:cs="Calibri" w:eastAsia="Calibri" w:hAnsi="Calibri"/>
        </w:rPr>
        <w:t xml:space="preserve">Phase 2 — Define (Days 5–12)</w:t>
      </w:r>
    </w:p>
    <w:p>
      <w:pPr>
        <w:spacing w:after="100" w:line="276" w:before="0"/>
      </w:pPr>
      <w:r>
        <w:rPr>
          <w:i/>
          <w:iCs/>
          <w:color w:val="6B7C8B"/>
          <w:sz w:val="21"/>
          <w:szCs w:val="21"/>
          <w:rFonts w:ascii="Calibri" w:cs="Calibri" w:eastAsia="Calibri" w:hAnsi="Calibri"/>
        </w:rPr>
        <w:t xml:space="preserve">Turn the framework into your specifics.</w:t>
      </w:r>
    </w:p>
    <w:tbl>
      <w:tblPr>
        <w:tblW w:type="dxa" w:w="9360"/>
        <w:tblBorders>
          <w:top w:val="single" w:color="DCE4EA" w:sz="2"/>
          <w:left w:val="single" w:color="DCE4EA" w:sz="2"/>
          <w:bottom w:val="single" w:color="DCE4EA" w:sz="2"/>
          <w:right w:val="single" w:color="DCE4EA" w:sz="2"/>
          <w:insideH w:val="single" w:color="DCE4EA" w:sz="2"/>
          <w:insideV w:val="single" w:color="DCE4EA" w:sz="2"/>
        </w:tblBorders>
      </w:tblPr>
      <w:tblGrid>
        <w:gridCol w:w="560"/>
        <w:gridCol w:w="6100"/>
        <w:gridCol w:w="1500"/>
        <w:gridCol w:w="1200"/>
      </w:tblGrid>
      <w:tr>
        <w:trPr>
          <w:cantSplit/>
          <w:tblHeader/>
        </w:trPr>
        <w:tc>
          <w:tcPr>
            <w:tcW w:type="dxa" w:w="56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✓</w:t>
            </w:r>
          </w:p>
        </w:tc>
        <w:tc>
          <w:tcPr>
            <w:tcW w:type="dxa" w:w="61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Task</w:t>
            </w:r>
          </w:p>
        </w:tc>
        <w:tc>
          <w:tcPr>
            <w:tcW w:type="dxa" w:w="15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Owner</w:t>
            </w:r>
          </w:p>
        </w:tc>
        <w:tc>
          <w:tcPr>
            <w:tcW w:type="dxa" w:w="12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Target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Name the policy owner.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Fill in the data-classification tiers with your real examples.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Build the approved-tools list (cleared-for-confidential vs. public-only).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Adapt the policy placeholders and have counsel review.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</w:tbl>
    <w:p>
      <w:pPr>
        <w:spacing w:after="160"/>
      </w:pPr>
      <w:r>
        <w:rPr>
          <w:color w:val="3C4A57"/>
          <w:sz w:val="8"/>
          <w:szCs w:val="8"/>
          <w:rFonts w:ascii="Calibri" w:cs="Calibri" w:eastAsia="Calibri" w:hAnsi="Calibri"/>
        </w:rPr>
        <w:t xml:space="preserve"> </w:t>
      </w:r>
    </w:p>
    <w:p>
      <w:pPr>
        <w:pStyle w:val="Heading2"/>
        <w:keepNext/>
        <w:keepLines/>
        <w:spacing w:before="260" w:after="90"/>
      </w:pPr>
      <w:r>
        <w:rPr>
          <w:b/>
          <w:bCs/>
          <w:color w:val="0B2440"/>
          <w:sz w:val="24"/>
          <w:szCs w:val="24"/>
          <w:rFonts w:ascii="Calibri" w:cs="Calibri" w:eastAsia="Calibri" w:hAnsi="Calibri"/>
        </w:rPr>
        <w:t xml:space="preserve">Phase 3 — Deploy (Days 12–20)</w:t>
      </w:r>
    </w:p>
    <w:p>
      <w:pPr>
        <w:spacing w:after="100" w:line="276" w:before="0"/>
      </w:pPr>
      <w:r>
        <w:rPr>
          <w:i/>
          <w:iCs/>
          <w:color w:val="6B7C8B"/>
          <w:sz w:val="21"/>
          <w:szCs w:val="21"/>
          <w:rFonts w:ascii="Calibri" w:cs="Calibri" w:eastAsia="Calibri" w:hAnsi="Calibri"/>
        </w:rPr>
        <w:t xml:space="preserve">Put the compliant path in front of people.</w:t>
      </w:r>
    </w:p>
    <w:tbl>
      <w:tblPr>
        <w:tblW w:type="dxa" w:w="9360"/>
        <w:tblBorders>
          <w:top w:val="single" w:color="DCE4EA" w:sz="2"/>
          <w:left w:val="single" w:color="DCE4EA" w:sz="2"/>
          <w:bottom w:val="single" w:color="DCE4EA" w:sz="2"/>
          <w:right w:val="single" w:color="DCE4EA" w:sz="2"/>
          <w:insideH w:val="single" w:color="DCE4EA" w:sz="2"/>
          <w:insideV w:val="single" w:color="DCE4EA" w:sz="2"/>
        </w:tblBorders>
      </w:tblPr>
      <w:tblGrid>
        <w:gridCol w:w="560"/>
        <w:gridCol w:w="6100"/>
        <w:gridCol w:w="1500"/>
        <w:gridCol w:w="1200"/>
      </w:tblGrid>
      <w:tr>
        <w:trPr>
          <w:cantSplit/>
          <w:tblHeader/>
        </w:trPr>
        <w:tc>
          <w:tcPr>
            <w:tcW w:type="dxa" w:w="56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✓</w:t>
            </w:r>
          </w:p>
        </w:tc>
        <w:tc>
          <w:tcPr>
            <w:tcW w:type="dxa" w:w="61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Task</w:t>
            </w:r>
          </w:p>
        </w:tc>
        <w:tc>
          <w:tcPr>
            <w:tcW w:type="dxa" w:w="15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Owner</w:t>
            </w:r>
          </w:p>
        </w:tc>
        <w:tc>
          <w:tcPr>
            <w:tcW w:type="dxa" w:w="12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Target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Provision approved, business-tier AI tools for staff.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Distribute the AI Usage Policy to all staff.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Collect signed employee acknowledgment letters.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Send the vendor letter to every vendor that touches your data; track signatures.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</w:tbl>
    <w:p>
      <w:pPr>
        <w:spacing w:after="160"/>
      </w:pPr>
      <w:r>
        <w:rPr>
          <w:color w:val="3C4A57"/>
          <w:sz w:val="8"/>
          <w:szCs w:val="8"/>
          <w:rFonts w:ascii="Calibri" w:cs="Calibri" w:eastAsia="Calibri" w:hAnsi="Calibri"/>
        </w:rPr>
        <w:t xml:space="preserve"> </w:t>
      </w:r>
    </w:p>
    <w:p>
      <w:pPr>
        <w:pStyle w:val="Heading2"/>
        <w:keepNext/>
        <w:keepLines/>
        <w:spacing w:before="260" w:after="90"/>
      </w:pPr>
      <w:r>
        <w:rPr>
          <w:b/>
          <w:bCs/>
          <w:color w:val="0B2440"/>
          <w:sz w:val="24"/>
          <w:szCs w:val="24"/>
          <w:rFonts w:ascii="Calibri" w:cs="Calibri" w:eastAsia="Calibri" w:hAnsi="Calibri"/>
        </w:rPr>
        <w:t xml:space="preserve">Phase 4 — Enforce (Days 18–25)</w:t>
      </w:r>
    </w:p>
    <w:p>
      <w:pPr>
        <w:spacing w:after="100" w:line="276" w:before="0"/>
      </w:pPr>
      <w:r>
        <w:rPr>
          <w:i/>
          <w:iCs/>
          <w:color w:val="6B7C8B"/>
          <w:sz w:val="21"/>
          <w:szCs w:val="21"/>
          <w:rFonts w:ascii="Calibri" w:cs="Calibri" w:eastAsia="Calibri" w:hAnsi="Calibri"/>
        </w:rPr>
        <w:t xml:space="preserve">Make the policy something you can see being followed.</w:t>
      </w:r>
    </w:p>
    <w:tbl>
      <w:tblPr>
        <w:tblW w:type="dxa" w:w="9360"/>
        <w:tblBorders>
          <w:top w:val="single" w:color="DCE4EA" w:sz="2"/>
          <w:left w:val="single" w:color="DCE4EA" w:sz="2"/>
          <w:bottom w:val="single" w:color="DCE4EA" w:sz="2"/>
          <w:right w:val="single" w:color="DCE4EA" w:sz="2"/>
          <w:insideH w:val="single" w:color="DCE4EA" w:sz="2"/>
          <w:insideV w:val="single" w:color="DCE4EA" w:sz="2"/>
        </w:tblBorders>
      </w:tblPr>
      <w:tblGrid>
        <w:gridCol w:w="560"/>
        <w:gridCol w:w="6100"/>
        <w:gridCol w:w="1500"/>
        <w:gridCol w:w="1200"/>
      </w:tblGrid>
      <w:tr>
        <w:trPr>
          <w:cantSplit/>
          <w:tblHeader/>
        </w:trPr>
        <w:tc>
          <w:tcPr>
            <w:tcW w:type="dxa" w:w="56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✓</w:t>
            </w:r>
          </w:p>
        </w:tc>
        <w:tc>
          <w:tcPr>
            <w:tcW w:type="dxa" w:w="61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Task</w:t>
            </w:r>
          </w:p>
        </w:tc>
        <w:tc>
          <w:tcPr>
            <w:tcW w:type="dxa" w:w="15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Owner</w:t>
            </w:r>
          </w:p>
        </w:tc>
        <w:tc>
          <w:tcPr>
            <w:tcW w:type="dxa" w:w="12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Target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Turn on Shadow AI Discovery for ongoing visibility.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Block unapproved / high-risk LLMs from being accessed.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Confirm regulated data is only reachable through cleared, compliant tools.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</w:tbl>
    <w:p>
      <w:pPr>
        <w:spacing w:after="160"/>
      </w:pPr>
      <w:r>
        <w:rPr>
          <w:color w:val="3C4A57"/>
          <w:sz w:val="8"/>
          <w:szCs w:val="8"/>
          <w:rFonts w:ascii="Calibri" w:cs="Calibri" w:eastAsia="Calibri" w:hAnsi="Calibri"/>
        </w:rPr>
        <w:t xml:space="preserve"> </w:t>
      </w:r>
    </w:p>
    <w:p>
      <w:pPr>
        <w:pStyle w:val="Heading2"/>
        <w:keepNext/>
        <w:keepLines/>
        <w:spacing w:before="260" w:after="90"/>
      </w:pPr>
      <w:r>
        <w:rPr>
          <w:b/>
          <w:bCs/>
          <w:color w:val="0B2440"/>
          <w:sz w:val="24"/>
          <w:szCs w:val="24"/>
          <w:rFonts w:ascii="Calibri" w:cs="Calibri" w:eastAsia="Calibri" w:hAnsi="Calibri"/>
        </w:rPr>
        <w:t xml:space="preserve">Phase 5 — Sustain (Ongoing)</w:t>
      </w:r>
    </w:p>
    <w:p>
      <w:pPr>
        <w:spacing w:after="100" w:line="276" w:before="0"/>
      </w:pPr>
      <w:r>
        <w:rPr>
          <w:i/>
          <w:iCs/>
          <w:color w:val="6B7C8B"/>
          <w:sz w:val="21"/>
          <w:szCs w:val="21"/>
          <w:rFonts w:ascii="Calibri" w:cs="Calibri" w:eastAsia="Calibri" w:hAnsi="Calibri"/>
        </w:rPr>
        <w:t xml:space="preserve">Keep it current — AI tools and their terms change fast.</w:t>
      </w:r>
    </w:p>
    <w:tbl>
      <w:tblPr>
        <w:tblW w:type="dxa" w:w="9360"/>
        <w:tblBorders>
          <w:top w:val="single" w:color="DCE4EA" w:sz="2"/>
          <w:left w:val="single" w:color="DCE4EA" w:sz="2"/>
          <w:bottom w:val="single" w:color="DCE4EA" w:sz="2"/>
          <w:right w:val="single" w:color="DCE4EA" w:sz="2"/>
          <w:insideH w:val="single" w:color="DCE4EA" w:sz="2"/>
          <w:insideV w:val="single" w:color="DCE4EA" w:sz="2"/>
        </w:tblBorders>
      </w:tblPr>
      <w:tblGrid>
        <w:gridCol w:w="560"/>
        <w:gridCol w:w="6100"/>
        <w:gridCol w:w="1500"/>
        <w:gridCol w:w="1200"/>
      </w:tblGrid>
      <w:tr>
        <w:trPr>
          <w:cantSplit/>
          <w:tblHeader/>
        </w:trPr>
        <w:tc>
          <w:tcPr>
            <w:tcW w:type="dxa" w:w="56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✓</w:t>
            </w:r>
          </w:p>
        </w:tc>
        <w:tc>
          <w:tcPr>
            <w:tcW w:type="dxa" w:w="61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Task</w:t>
            </w:r>
          </w:p>
        </w:tc>
        <w:tc>
          <w:tcPr>
            <w:tcW w:type="dxa" w:w="15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Owner</w:t>
            </w:r>
          </w:p>
        </w:tc>
        <w:tc>
          <w:tcPr>
            <w:tcW w:type="dxa" w:w="1200"/>
            <w:shd w:fill="0B2440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b/>
                <w:bCs/>
                <w:color w:val="FFFFFF"/>
                <w:sz w:val="19"/>
                <w:szCs w:val="19"/>
                <w:rFonts w:ascii="Calibri" w:cs="Calibri" w:eastAsia="Calibri" w:hAnsi="Calibri"/>
              </w:rPr>
              <w:t xml:space="preserve">Target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Deliver practical AI coaching to every employee; add it to onboarding.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Set the review cadence (at least every 6 months) and calendar it.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Log and review any incidents; update the policy after material changes.</w:t>
            </w:r>
          </w:p>
        </w:tc>
        <w:tc>
          <w:tcPr>
            <w:tcW w:type="dxa" w:w="15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FFFF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  <w:tr>
        <w:trPr>
          <w:cantSplit/>
        </w:trPr>
        <w:tc>
          <w:tcPr>
            <w:tcW w:type="dxa" w:w="56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0B2440"/>
                <w:sz w:val="22"/>
                <w:szCs w:val="22"/>
                <w:rFonts w:ascii="Calibri" w:cs="Calibri" w:eastAsia="Calibri" w:hAnsi="Calibri"/>
              </w:rPr>
              <w:t xml:space="preserve">☐</w:t>
            </w:r>
          </w:p>
        </w:tc>
        <w:tc>
          <w:tcPr>
            <w:tcW w:type="dxa" w:w="61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Re-run discovery periodically to catch new shadow AI.</w:t>
            </w:r>
          </w:p>
        </w:tc>
        <w:tc>
          <w:tcPr>
            <w:tcW w:type="dxa" w:w="15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[Owner]</w:t>
            </w:r>
          </w:p>
        </w:tc>
        <w:tc>
          <w:tcPr>
            <w:tcW w:type="dxa" w:w="1200"/>
            <w:shd w:fill="F2F6F9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color w:val="3C4A57"/>
                <w:sz w:val="19"/>
                <w:szCs w:val="19"/>
                <w:rFonts w:ascii="Calibri" w:cs="Calibri" w:eastAsia="Calibri" w:hAnsi="Calibri"/>
              </w:rPr>
              <w:t xml:space="preserve">[Date]</w:t>
            </w:r>
          </w:p>
        </w:tc>
      </w:tr>
    </w:tbl>
    <w:p>
      <w:pPr>
        <w:spacing w:after="160"/>
      </w:pPr>
      <w:r>
        <w:rPr>
          <w:color w:val="3C4A57"/>
          <w:sz w:val="8"/>
          <w:szCs w:val="8"/>
          <w:rFonts w:ascii="Calibri" w:cs="Calibri" w:eastAsia="Calibri" w:hAnsi="Calibri"/>
        </w:rPr>
        <w:t xml:space="preserve"> </w:t>
      </w:r>
    </w:p>
    <w:p>
      <w:pPr>
        <w:pBdr>
          <w:top w:val="single" w:color="DCE4EA" w:sz="2"/>
        </w:pBdr>
        <w:spacing w:before="300"/>
      </w:pPr>
      <w:r>
        <w:rPr>
          <w:i/>
          <w:iCs/>
          <w:color w:val="6B7C8B"/>
          <w:sz w:val="17"/>
          <w:szCs w:val="17"/>
          <w:rFonts w:ascii="Calibri" w:cs="Calibri" w:eastAsia="Calibri" w:hAnsi="Calibri"/>
        </w:rPr>
        <w:t xml:space="preserve">Template — not legal advice; review with your legal team before adopting. Issued August 18, 2026 · review monthly. Provided by Fortify AI  ·  i-nett.ai  ·  (858) 337-2866. Want us to run the enforcement steps for you? Book a 30-minute review at i-nett.ai/resources.</w:t>
      </w:r>
    </w:p>
    <w:sectPr>
      <w:footerReference w:type="default" r:id="rId6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4EA" w:sz="2"/>
      </w:pBdr>
      <w:spacing w:before="80"/>
    </w:pPr>
    <w:r>
      <w:rPr>
        <w:color w:val="6B7C8B"/>
        <w:sz w:val="15"/>
        <w:szCs w:val="15"/>
        <w:rFonts w:ascii="Calibri" w:cs="Calibri" w:eastAsia="Calibri" w:hAnsi="Calibri"/>
      </w:rPr>
      <w:t xml:space="preserve">FORTIFY AI</w:t>
    </w:r>
    <w:r>
      <w:rPr>
        <w:color w:val="6B7C8B"/>
        <w:sz w:val="15"/>
        <w:szCs w:val="15"/>
        <w:rFonts w:ascii="Calibri" w:cs="Calibri" w:eastAsia="Calibri" w:hAnsi="Calibri"/>
      </w:rPr>
      <w:ptab w:alignment="center" w:relativeTo="margin" w:leader="none"/>
    </w:r>
    <w:r>
      <w:rPr>
        <w:color w:val="6B7C8B"/>
        <w:sz w:val="15"/>
        <w:szCs w:val="15"/>
        <w:rFonts w:ascii="Calibri" w:cs="Calibri" w:eastAsia="Calibri" w:hAnsi="Calibri"/>
      </w:rPr>
      <w:t xml:space="preserve">AI Policy Rollout — 30-Day Plan</w:t>
    </w:r>
    <w:r>
      <w:rPr>
        <w:color w:val="6B7C8B"/>
        <w:sz w:val="15"/>
        <w:szCs w:val="15"/>
        <w:rFonts w:ascii="Calibri" w:cs="Calibri" w:eastAsia="Calibri" w:hAnsi="Calibri"/>
      </w:rPr>
      <w:ptab w:alignment="right" w:relativeTo="margin" w:leader="none"/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12A5DB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  <w:rPr>
        <w:b/>
        <w:bCs/>
        <w:color w:val="0B2440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300"/>
      </w:pPr>
      <w:rPr>
        <w:b/>
        <w:bCs/>
        <w:color w:val="0B2440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3C4A57"/>
        <w:sz w:val="21"/>
        <w:szCs w:val="21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2026-08-19T04:54:01.661Z</dcterms:created>
  <dcterms:modified xsi:type="dcterms:W3CDTF">2026-08-19T04:54:01.661Z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