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900" w:after="0"/>
      </w:pPr>
      <w:r>
        <w:rPr>
          <w:b/>
          <w:bCs/>
          <w:color w:val="0B2440"/>
          <w:sz w:val="40"/>
          <w:szCs w:val="40"/>
          <w:rFonts w:ascii="Calibri" w:cs="Calibri" w:eastAsia="Calibri" w:hAnsi="Calibri"/>
        </w:rPr>
        <w:t xml:space="preserve">FORTIFY</w:t>
      </w:r>
      <w:r>
        <w:rPr>
          <w:b/>
          <w:bCs/>
          <w:color w:val="12A5DB"/>
          <w:sz w:val="40"/>
          <w:szCs w:val="40"/>
          <w:rFonts w:ascii="Calibri" w:cs="Calibri" w:eastAsia="Calibri" w:hAnsi="Calibri"/>
        </w:rPr>
        <w:t xml:space="preserve"> AI</w:t>
      </w:r>
    </w:p>
    <w:p>
      <w:pPr>
        <w:spacing w:before="40" w:after="700"/>
      </w:pPr>
      <w:r>
        <w:rPr>
          <w:i/>
          <w:iCs/>
          <w:color w:val="6B7C8B"/>
          <w:sz w:val="19"/>
          <w:szCs w:val="19"/>
          <w:rFonts w:ascii="Calibri" w:cs="Calibri" w:eastAsia="Calibri" w:hAnsi="Calibri"/>
        </w:rPr>
        <w:t xml:space="preserve">Make every employee an AI expert. Securely.</w:t>
      </w:r>
    </w:p>
    <w:p>
      <w:pPr>
        <w:spacing w:after="40"/>
      </w:pPr>
      <w:r>
        <w:rPr>
          <w:b/>
          <w:bCs/>
          <w:color w:val="12A5DB"/>
          <w:sz w:val="18"/>
          <w:szCs w:val="18"/>
          <w:caps/>
          <w:rFonts w:ascii="Calibri" w:cs="Calibri" w:eastAsia="Calibri" w:hAnsi="Calibri"/>
          <w:spacing w:val="40"/>
        </w:rPr>
        <w:t xml:space="preserve">Governance Framework</w:t>
      </w:r>
    </w:p>
    <w:p>
      <w:pPr>
        <w:spacing w:after="200"/>
      </w:pPr>
      <w:r>
        <w:rPr>
          <w:b/>
          <w:bCs/>
          <w:color w:val="0B2440"/>
          <w:sz w:val="52"/>
          <w:szCs w:val="52"/>
          <w:rFonts w:ascii="Calibri" w:cs="Calibri" w:eastAsia="Calibri" w:hAnsi="Calibri"/>
        </w:rPr>
        <w:t xml:space="preserve">AI Usage Policy &amp; Governance Framework</w:t>
      </w:r>
    </w:p>
    <w:p>
      <w:pPr>
        <w:spacing w:after="700"/>
      </w:pPr>
      <w:r>
        <w:rPr>
          <w:color w:val="3C4A57"/>
          <w:sz w:val="24"/>
          <w:szCs w:val="24"/>
          <w:rFonts w:ascii="Calibri" w:cs="Calibri" w:eastAsia="Calibri" w:hAnsi="Calibri"/>
        </w:rPr>
        <w:t xml:space="preserve">A complete, deployable framework for responsible, secure AI use — the policy, the people, the enforcement, and the plan to put it in place.</w:t>
      </w:r>
    </w:p>
    <w:p>
      <w:pPr>
        <w:pBdr>
          <w:top w:val="single" w:color="12A5DB" w:sz="6"/>
        </w:pBdr>
        <w:spacing w:before="200" w:after="200"/>
      </w:pPr>
    </w:p>
    <w:p>
      <w:pPr>
        <w:spacing w:after="60" w:line="276" w:before="0"/>
      </w:pPr>
      <w:r>
        <w:rPr>
          <w:color w:val="6B7C8B"/>
          <w:sz w:val="21"/>
          <w:szCs w:val="21"/>
          <w:rFonts w:ascii="Calibri" w:cs="Calibri" w:eastAsia="Calibri" w:hAnsi="Calibri"/>
        </w:rPr>
        <w:t xml:space="preserve">Prepared for  </w:t>
      </w:r>
      <w:r>
        <w:rPr>
          <w:b/>
          <w:bCs/>
          <w:color w:val="0C1622"/>
          <w:sz w:val="21"/>
          <w:szCs w:val="21"/>
          <w:rFonts w:ascii="Calibri" w:cs="Calibri" w:eastAsia="Calibri" w:hAnsi="Calibri"/>
        </w:rPr>
        <w:t xml:space="preserve">[Company Name]</w:t>
      </w:r>
    </w:p>
    <w:p>
      <w:pPr>
        <w:spacing w:after="60" w:line="276" w:before="0"/>
      </w:pPr>
      <w:r>
        <w:rPr>
          <w:color w:val="6B7C8B"/>
          <w:sz w:val="21"/>
          <w:szCs w:val="21"/>
          <w:rFonts w:ascii="Calibri" w:cs="Calibri" w:eastAsia="Calibri" w:hAnsi="Calibri"/>
        </w:rPr>
        <w:t xml:space="preserve">Policy owner  </w:t>
      </w:r>
      <w:r>
        <w:rPr>
          <w:b/>
          <w:bCs/>
          <w:color w:val="0C1622"/>
          <w:sz w:val="21"/>
          <w:szCs w:val="21"/>
          <w:rFonts w:ascii="Calibri" w:cs="Calibri" w:eastAsia="Calibri" w:hAnsi="Calibri"/>
        </w:rPr>
        <w:t xml:space="preserve">[Name / title]</w:t>
      </w:r>
    </w:p>
    <w:p>
      <w:pPr>
        <w:spacing w:after="60" w:line="276" w:before="0"/>
      </w:pPr>
      <w:r>
        <w:rPr>
          <w:color w:val="6B7C8B"/>
          <w:sz w:val="21"/>
          <w:szCs w:val="21"/>
          <w:rFonts w:ascii="Calibri" w:cs="Calibri" w:eastAsia="Calibri" w:hAnsi="Calibri"/>
        </w:rPr>
        <w:t xml:space="preserve">Framework version  </w:t>
      </w:r>
      <w:r>
        <w:rPr>
          <w:b/>
          <w:bCs/>
          <w:color w:val="0C1622"/>
          <w:sz w:val="21"/>
          <w:szCs w:val="21"/>
          <w:rFonts w:ascii="Calibri" w:cs="Calibri" w:eastAsia="Calibri" w:hAnsi="Calibri"/>
        </w:rPr>
        <w:t xml:space="preserve">1.0</w:t>
      </w:r>
      <w:r>
        <w:rPr>
          <w:color w:val="6B7C8B"/>
          <w:sz w:val="21"/>
          <w:szCs w:val="21"/>
          <w:rFonts w:ascii="Calibri" w:cs="Calibri" w:eastAsia="Calibri" w:hAnsi="Calibri"/>
        </w:rPr>
        <w:t xml:space="preserve">        Issued  </w:t>
      </w:r>
      <w:r>
        <w:rPr>
          <w:b/>
          <w:bCs/>
          <w:color w:val="0C1622"/>
          <w:sz w:val="21"/>
          <w:szCs w:val="21"/>
          <w:rFonts w:ascii="Calibri" w:cs="Calibri" w:eastAsia="Calibri" w:hAnsi="Calibri"/>
        </w:rPr>
        <w:t xml:space="preserve">August 18, 2026</w:t>
      </w:r>
      <w:r>
        <w:rPr>
          <w:color w:val="6B7C8B"/>
          <w:sz w:val="21"/>
          <w:szCs w:val="21"/>
          <w:rFonts w:ascii="Calibri" w:cs="Calibri" w:eastAsia="Calibri" w:hAnsi="Calibri"/>
        </w:rPr>
        <w:t xml:space="preserve">        Your adoption date  </w:t>
      </w:r>
      <w:r>
        <w:rPr>
          <w:b/>
          <w:bCs/>
          <w:color w:val="0C1622"/>
          <w:sz w:val="21"/>
          <w:szCs w:val="21"/>
          <w:rFonts w:ascii="Calibri" w:cs="Calibri" w:eastAsia="Calibri" w:hAnsi="Calibri"/>
        </w:rPr>
        <w:t xml:space="preserve">[Date]</w:t>
      </w:r>
    </w:p>
    <w:p>
      <w:pPr>
        <w:spacing w:after="60" w:line="276" w:before="0"/>
      </w:pPr>
      <w:r>
        <w:rPr>
          <w:color w:val="6B7C8B"/>
          <w:sz w:val="21"/>
          <w:szCs w:val="21"/>
          <w:rFonts w:ascii="Calibri" w:cs="Calibri" w:eastAsia="Calibri" w:hAnsi="Calibri"/>
        </w:rPr>
        <w:t xml:space="preserve">Recommended review  </w:t>
      </w:r>
      <w:r>
        <w:rPr>
          <w:b/>
          <w:bCs/>
          <w:color w:val="0C1622"/>
          <w:sz w:val="21"/>
          <w:szCs w:val="21"/>
          <w:rFonts w:ascii="Calibri" w:cs="Calibri" w:eastAsia="Calibri" w:hAnsi="Calibri"/>
        </w:rPr>
        <w:t xml:space="preserve">Monthly</w:t>
      </w:r>
      <w:r>
        <w:rPr>
          <w:color w:val="3C4A57"/>
          <w:sz w:val="21"/>
          <w:szCs w:val="21"/>
          <w:rFonts w:ascii="Calibri" w:cs="Calibri" w:eastAsia="Calibri" w:hAnsi="Calibri"/>
        </w:rPr>
        <w:t xml:space="preserve"> — AI tools and the laws that govern them are changing rapidly.</w:t>
      </w:r>
    </w:p>
    <w:p>
      <w:pPr>
        <w:spacing w:before="700"/>
      </w:pPr>
      <w:r>
        <w:rPr>
          <w:color w:val="6B7C8B"/>
          <w:sz w:val="18"/>
          <w:szCs w:val="18"/>
          <w:rFonts w:ascii="Calibri" w:cs="Calibri" w:eastAsia="Calibri" w:hAnsi="Calibri"/>
        </w:rPr>
        <w:t xml:space="preserve">Provided by Fortify AI  ·  i-nett.ai  ·  (858) 337-2866  ·  nickd@i-nett.com</w:t>
      </w:r>
    </w:p>
    <w:p>
      <w:r>
        <w:br w:type="page"/>
      </w:r>
    </w:p>
    <w:p>
      <w:pPr>
        <w:spacing w:before="220" w:after="60"/>
      </w:pPr>
      <w:r>
        <w:rPr>
          <w:b/>
          <w:bCs/>
          <w:color w:val="12A5DB"/>
          <w:sz w:val="16"/>
          <w:szCs w:val="16"/>
          <w:caps/>
          <w:rFonts w:ascii="Calibri" w:cs="Calibri" w:eastAsia="Calibri" w:hAnsi="Calibri"/>
          <w:spacing w:val="30"/>
        </w:rPr>
        <w:t xml:space="preserve">How to use this framework</w:t>
      </w:r>
    </w:p>
    <w:p>
      <w:pPr>
        <w:pStyle w:val="Heading1"/>
        <w:keepNext/>
        <w:keepLines/>
        <w:spacing w:before="340" w:after="130"/>
      </w:pPr>
      <w:r>
        <w:rPr>
          <w:b/>
          <w:bCs/>
          <w:color w:val="0B2440"/>
          <w:sz w:val="30"/>
          <w:szCs w:val="30"/>
          <w:rFonts w:ascii="Calibri" w:cs="Calibri" w:eastAsia="Calibri" w:hAnsi="Calibri"/>
        </w:rPr>
        <w:t xml:space="preserve">How to use this framework</w:t>
      </w:r>
    </w:p>
    <w:p>
      <w:pPr>
        <w:pBdr>
          <w:bottom w:val="single" w:color="12A5DB" w:sz="6"/>
        </w:pBdr>
        <w:spacing w:before="60" w:after="160"/>
      </w:pPr>
    </w:p>
    <w:p>
      <w:pPr>
        <w:spacing w:after="140" w:line="276" w:before="0"/>
      </w:pPr>
      <w:r>
        <w:rPr>
          <w:color w:val="3C4A57"/>
          <w:sz w:val="21"/>
          <w:szCs w:val="21"/>
          <w:rFonts w:ascii="Calibri" w:cs="Calibri" w:eastAsia="Calibri" w:hAnsi="Calibri"/>
        </w:rPr>
        <w:t xml:space="preserve">This document is a complete, adopt-ready AI governance framework for a business that wants the productivity of AI without the exposure. It is written so a non-technical employee can follow it, and it is built to be enforceable rather than aspirational.</w:t>
      </w:r>
    </w:p>
    <w:p>
      <w:pPr>
        <w:spacing w:after="140" w:line="276" w:before="0"/>
      </w:pPr>
      <w:r>
        <w:rPr>
          <w:color w:val="3C4A57"/>
          <w:sz w:val="21"/>
          <w:szCs w:val="21"/>
          <w:rFonts w:ascii="Calibri" w:cs="Calibri" w:eastAsia="Calibri" w:hAnsi="Calibri"/>
        </w:rPr>
        <w:t xml:space="preserve">The kit has four parts:</w:t>
      </w:r>
    </w:p>
    <w:p>
      <w:pPr>
        <w:pStyle w:val="ListParagraph"/>
        <w:numPr>
          <w:ilvl w:val="0"/>
          <w:numId w:val="2"/>
        </w:numPr>
        <w:spacing w:after="90" w:line="272"/>
      </w:pPr>
      <w:r>
        <w:rPr>
          <w:b/>
          <w:bCs/>
          <w:color w:val="0C1622"/>
          <w:sz w:val="21"/>
          <w:szCs w:val="21"/>
          <w:rFonts w:ascii="Calibri" w:cs="Calibri" w:eastAsia="Calibri" w:hAnsi="Calibri"/>
        </w:rPr>
        <w:t xml:space="preserve">The policy </w:t>
      </w:r>
      <w:r>
        <w:rPr>
          <w:color w:val="3C4A57"/>
          <w:sz w:val="21"/>
          <w:szCs w:val="21"/>
          <w:rFonts w:ascii="Calibri" w:cs="Calibri" w:eastAsia="Calibri" w:hAnsi="Calibri"/>
        </w:rPr>
        <w:t xml:space="preserve">(this document) — the rules, roles, and standards your organization adopts.</w:t>
      </w:r>
    </w:p>
    <w:p>
      <w:pPr>
        <w:pStyle w:val="ListParagraph"/>
        <w:numPr>
          <w:ilvl w:val="0"/>
          <w:numId w:val="2"/>
        </w:numPr>
        <w:spacing w:after="90" w:line="272"/>
      </w:pPr>
      <w:r>
        <w:rPr>
          <w:b/>
          <w:bCs/>
          <w:color w:val="0C1622"/>
          <w:sz w:val="21"/>
          <w:szCs w:val="21"/>
          <w:rFonts w:ascii="Calibri" w:cs="Calibri" w:eastAsia="Calibri" w:hAnsi="Calibri"/>
        </w:rPr>
        <w:t xml:space="preserve">The employee acknowledgment letter </w:t>
      </w:r>
      <w:r>
        <w:rPr>
          <w:color w:val="3C4A57"/>
          <w:sz w:val="21"/>
          <w:szCs w:val="21"/>
          <w:rFonts w:ascii="Calibri" w:cs="Calibri" w:eastAsia="Calibri" w:hAnsi="Calibri"/>
        </w:rPr>
        <w:t xml:space="preserve">— a short letter every employee reads and signs, so the policy is something people are actually held to.</w:t>
      </w:r>
    </w:p>
    <w:p>
      <w:pPr>
        <w:pStyle w:val="ListParagraph"/>
        <w:numPr>
          <w:ilvl w:val="0"/>
          <w:numId w:val="2"/>
        </w:numPr>
        <w:spacing w:after="90" w:line="272"/>
      </w:pPr>
      <w:r>
        <w:rPr>
          <w:b/>
          <w:bCs/>
          <w:color w:val="0C1622"/>
          <w:sz w:val="21"/>
          <w:szCs w:val="21"/>
          <w:rFonts w:ascii="Calibri" w:cs="Calibri" w:eastAsia="Calibri" w:hAnsi="Calibri"/>
        </w:rPr>
        <w:t xml:space="preserve">The third-party vendor letter </w:t>
      </w:r>
      <w:r>
        <w:rPr>
          <w:color w:val="3C4A57"/>
          <w:sz w:val="21"/>
          <w:szCs w:val="21"/>
          <w:rFonts w:ascii="Calibri" w:cs="Calibri" w:eastAsia="Calibri" w:hAnsi="Calibri"/>
        </w:rPr>
        <w:t xml:space="preserve">— a written commitment from every outside party that touches your data.</w:t>
      </w:r>
    </w:p>
    <w:p>
      <w:pPr>
        <w:pStyle w:val="ListParagraph"/>
        <w:numPr>
          <w:ilvl w:val="0"/>
          <w:numId w:val="2"/>
        </w:numPr>
        <w:spacing w:after="90" w:line="272"/>
      </w:pPr>
      <w:r>
        <w:rPr>
          <w:b/>
          <w:bCs/>
          <w:color w:val="0C1622"/>
          <w:sz w:val="21"/>
          <w:szCs w:val="21"/>
          <w:rFonts w:ascii="Calibri" w:cs="Calibri" w:eastAsia="Calibri" w:hAnsi="Calibri"/>
        </w:rPr>
        <w:t xml:space="preserve">The rollout checklist </w:t>
      </w:r>
      <w:r>
        <w:rPr>
          <w:color w:val="3C4A57"/>
          <w:sz w:val="21"/>
          <w:szCs w:val="21"/>
          <w:rFonts w:ascii="Calibri" w:cs="Calibri" w:eastAsia="Calibri" w:hAnsi="Calibri"/>
        </w:rPr>
        <w:t xml:space="preserve">— a step-by-step plan to put all of this in place in about 30 days.</w:t>
      </w:r>
    </w:p>
    <w:p>
      <w:pPr>
        <w:spacing w:after="140" w:line="276" w:before="0"/>
      </w:pPr>
      <w:r>
        <w:rPr>
          <w:color w:val="3C4A57"/>
          <w:sz w:val="21"/>
          <w:szCs w:val="21"/>
          <w:rFonts w:ascii="Calibri" w:cs="Calibri" w:eastAsia="Calibri" w:hAnsi="Calibri"/>
        </w:rPr>
        <w:t xml:space="preserve">Replace every </w:t>
      </w:r>
      <w:r>
        <w:rPr>
          <w:b/>
          <w:bCs/>
          <w:color w:val="0E7FB0"/>
          <w:sz w:val="21"/>
          <w:szCs w:val="21"/>
          <w:rFonts w:ascii="Calibri" w:cs="Calibri" w:eastAsia="Calibri" w:hAnsi="Calibri"/>
        </w:rPr>
        <w:t xml:space="preserve">[bracketed placeholder]</w:t>
      </w:r>
      <w:r>
        <w:rPr>
          <w:color w:val="3C4A57"/>
          <w:sz w:val="21"/>
          <w:szCs w:val="21"/>
          <w:rFonts w:ascii="Calibri" w:cs="Calibri" w:eastAsia="Calibri" w:hAnsi="Calibri"/>
        </w:rPr>
        <w:t xml:space="preserve"> with your specifics, review with qualified counsel, and adopt. Fortify AI can configure the enforcement layer — visibility into which AI tools are in use and the ability to block unapproved ones — as part of any managed plan, so the policy is backed by technology and not just goodwill.</w:t>
      </w:r>
    </w:p>
    <w:tbl>
      <w:tblPr>
        <w:tblW w:type="dxa" w:w="9360"/>
        <w:tblBorders>
          <w:top w:val="single" w:color="DCE4EA" w:sz="2"/>
          <w:left w:val="single" w:color="12A5DB" w:sz="24"/>
          <w:bottom w:val="single" w:color="DCE4EA" w:sz="2"/>
          <w:right w:val="single" w:color="DCE4EA" w:sz="2"/>
          <w:insideH w:val="none"/>
          <w:insideV w:val="none"/>
        </w:tblBorders>
      </w:tblPr>
      <w:tblGrid>
        <w:gridCol w:w="9360"/>
      </w:tblGrid>
      <w:tr>
        <w:trPr>
          <w:cantSplit/>
        </w:trPr>
        <w:tc>
          <w:tcPr>
            <w:tcW w:type="dxa" w:w="9360"/>
            <w:shd w:fill="F2F6F9" w:color="auto" w:val="clear"/>
            <w:tcMar>
              <w:top w:type="dxa" w:w="130"/>
              <w:left w:type="dxa" w:w="200"/>
              <w:bottom w:type="dxa" w:w="130"/>
              <w:right w:type="dxa" w:w="160"/>
            </w:tcMar>
          </w:tcPr>
          <w:p>
            <w:pPr>
              <w:spacing w:after="70"/>
            </w:pPr>
            <w:r>
              <w:rPr>
                <w:b/>
                <w:bCs/>
                <w:color w:val="0B2440"/>
                <w:sz w:val="17"/>
                <w:szCs w:val="17"/>
                <w:caps/>
                <w:rFonts w:ascii="Calibri" w:cs="Calibri" w:eastAsia="Calibri" w:hAnsi="Calibri"/>
                <w:spacing w:val="20"/>
              </w:rPr>
              <w:t xml:space="preserve">Before you publish this</w:t>
            </w:r>
          </w:p>
          <w:p>
            <w:pPr>
              <w:spacing w:after="80" w:line="272"/>
            </w:pPr>
            <w:r>
              <w:rPr>
                <w:b/>
                <w:bCs/>
                <w:color w:val="0B2440"/>
                <w:sz w:val="21"/>
                <w:szCs w:val="21"/>
                <w:rFonts w:ascii="Calibri" w:cs="Calibri" w:eastAsia="Calibri" w:hAnsi="Calibri"/>
              </w:rPr>
              <w:t xml:space="preserve">Attorney review required. </w:t>
            </w:r>
            <w:r>
              <w:rPr>
                <w:color w:val="0C1622"/>
                <w:sz w:val="21"/>
                <w:szCs w:val="21"/>
                <w:rFonts w:ascii="Calibri" w:cs="Calibri" w:eastAsia="Calibri" w:hAnsi="Calibri"/>
              </w:rPr>
              <w:t xml:space="preserve">This is a framework, not legal advice. Have counsel tailor governing law and venue, incident-notice timelines, data residency, and any state or sector overlays (HIPAA/PHI, GLBA/financial, PCI DSS, CJIS, education/biometric/wiretap laws) to your obligations.</w:t>
            </w:r>
          </w:p>
          <w:p>
            <w:pPr>
              <w:spacing w:after="80" w:line="272"/>
            </w:pPr>
            <w:r>
              <w:rPr>
                <w:b/>
                <w:bCs/>
                <w:color w:val="0B2440"/>
                <w:sz w:val="21"/>
                <w:szCs w:val="21"/>
                <w:rFonts w:ascii="Calibri" w:cs="Calibri" w:eastAsia="Calibri" w:hAnsi="Calibri"/>
              </w:rPr>
              <w:t xml:space="preserve">Conflicts &amp; precedence. </w:t>
            </w:r>
            <w:r>
              <w:rPr>
                <w:color w:val="0C1622"/>
                <w:sz w:val="21"/>
                <w:szCs w:val="21"/>
                <w:rFonts w:ascii="Calibri" w:cs="Calibri" w:eastAsia="Calibri" w:hAnsi="Calibri"/>
              </w:rPr>
              <w:t xml:space="preserve">If this policy ever conflicts with an executed MSA, DPA, BAA, or with governing law, the contract or the law controls. Align the language to your contract stack before rollout.</w:t>
            </w:r>
          </w:p>
          <w:p>
            <w:pPr>
              <w:spacing w:after="0" w:line="272"/>
            </w:pPr>
            <w:r>
              <w:rPr>
                <w:b/>
                <w:bCs/>
                <w:color w:val="0B2440"/>
                <w:sz w:val="21"/>
                <w:szCs w:val="21"/>
                <w:rFonts w:ascii="Calibri" w:cs="Calibri" w:eastAsia="Calibri" w:hAnsi="Calibri"/>
              </w:rPr>
              <w:t xml:space="preserve">Customize at minimum: </w:t>
            </w:r>
            <w:r>
              <w:rPr>
                <w:color w:val="0C1622"/>
                <w:sz w:val="21"/>
                <w:szCs w:val="21"/>
                <w:rFonts w:ascii="Calibri" w:cs="Calibri" w:eastAsia="Calibri" w:hAnsi="Calibri"/>
              </w:rPr>
              <w:t xml:space="preserve">company identifiers and policy owner; the approved-tools list; the “never paste” list for your environment; incident escalation and notice timing; your vendor/subprocessor list; and the regulatory modules you actually need.</w:t>
            </w:r>
          </w:p>
        </w:tc>
      </w:tr>
    </w:tbl>
    <w:p>
      <w:pPr>
        <w:spacing w:before="220" w:after="60"/>
      </w:pPr>
      <w:r>
        <w:rPr>
          <w:b/>
          <w:bCs/>
          <w:color w:val="12A5DB"/>
          <w:sz w:val="16"/>
          <w:szCs w:val="16"/>
          <w:caps/>
          <w:rFonts w:ascii="Calibri" w:cs="Calibri" w:eastAsia="Calibri" w:hAnsi="Calibri"/>
          <w:spacing w:val="30"/>
        </w:rPr>
        <w:t xml:space="preserve">Section 1</w:t>
      </w:r>
    </w:p>
    <w:p>
      <w:pPr>
        <w:pStyle w:val="Heading1"/>
        <w:keepNext/>
        <w:keepLines/>
        <w:spacing w:before="340" w:after="130"/>
      </w:pPr>
      <w:r>
        <w:rPr>
          <w:b/>
          <w:bCs/>
          <w:color w:val="0B2440"/>
          <w:sz w:val="30"/>
          <w:szCs w:val="30"/>
          <w:rFonts w:ascii="Calibri" w:cs="Calibri" w:eastAsia="Calibri" w:hAnsi="Calibri"/>
        </w:rPr>
        <w:t xml:space="preserve">1. Purpose &amp; scope</w:t>
      </w:r>
    </w:p>
    <w:p>
      <w:pPr>
        <w:pBdr>
          <w:bottom w:val="single" w:color="12A5DB" w:sz="6"/>
        </w:pBdr>
        <w:spacing w:before="60" w:after="160"/>
      </w:pPr>
    </w:p>
    <w:p>
      <w:pPr>
        <w:spacing w:after="140" w:line="276" w:before="0"/>
      </w:pPr>
      <w:r>
        <w:rPr>
          <w:color w:val="3C4A57"/>
          <w:sz w:val="21"/>
          <w:szCs w:val="21"/>
          <w:rFonts w:ascii="Calibri" w:cs="Calibri" w:eastAsia="Calibri" w:hAnsi="Calibri"/>
        </w:rPr>
        <w:t xml:space="preserve">This policy governs the use of artificial intelligence tools by everyone who acts on behalf of [Company Name] — employees, contractors, temporary staff, and volunteers. It applies to any AI tool used for company work, whether the tool is company-provided or publicly available, and whether it is used on a company device or a personal one.</w:t>
      </w:r>
    </w:p>
    <w:p>
      <w:pPr>
        <w:spacing w:after="140" w:line="276" w:before="0"/>
      </w:pPr>
      <w:r>
        <w:rPr>
          <w:color w:val="3C4A57"/>
          <w:sz w:val="21"/>
          <w:szCs w:val="21"/>
          <w:rFonts w:ascii="Calibri" w:cs="Calibri" w:eastAsia="Calibri" w:hAnsi="Calibri"/>
        </w:rPr>
        <w:t xml:space="preserve">Its purpose is simple: </w:t>
      </w:r>
      <w:r>
        <w:rPr>
          <w:b/>
          <w:bCs/>
          <w:color w:val="0C1622"/>
          <w:sz w:val="21"/>
          <w:szCs w:val="21"/>
          <w:rFonts w:ascii="Calibri" w:cs="Calibri" w:eastAsia="Calibri" w:hAnsi="Calibri"/>
        </w:rPr>
        <w:t xml:space="preserve">let our people use AI to do better work, faster, while making sure no confidential, regulated, or client information ever leaves our control through a tool nobody approved and nobody is watching.</w:t>
      </w:r>
    </w:p>
    <w:p>
      <w:pPr>
        <w:spacing w:before="220" w:after="60"/>
      </w:pPr>
      <w:r>
        <w:rPr>
          <w:b/>
          <w:bCs/>
          <w:color w:val="12A5DB"/>
          <w:sz w:val="16"/>
          <w:szCs w:val="16"/>
          <w:caps/>
          <w:rFonts w:ascii="Calibri" w:cs="Calibri" w:eastAsia="Calibri" w:hAnsi="Calibri"/>
          <w:spacing w:val="30"/>
        </w:rPr>
        <w:t xml:space="preserve">Section 2</w:t>
      </w:r>
    </w:p>
    <w:p>
      <w:pPr>
        <w:pStyle w:val="Heading1"/>
        <w:keepNext/>
        <w:keepLines/>
        <w:spacing w:before="340" w:after="130"/>
      </w:pPr>
      <w:r>
        <w:rPr>
          <w:b/>
          <w:bCs/>
          <w:color w:val="0B2440"/>
          <w:sz w:val="30"/>
          <w:szCs w:val="30"/>
          <w:rFonts w:ascii="Calibri" w:cs="Calibri" w:eastAsia="Calibri" w:hAnsi="Calibri"/>
        </w:rPr>
        <w:t xml:space="preserve">2. Roles &amp; responsibilities</w:t>
      </w:r>
    </w:p>
    <w:p>
      <w:pPr>
        <w:pBdr>
          <w:bottom w:val="single" w:color="12A5DB" w:sz="6"/>
        </w:pBdr>
        <w:spacing w:before="60" w:after="160"/>
      </w:pPr>
    </w:p>
    <w:p>
      <w:pPr>
        <w:spacing w:after="140" w:line="276" w:before="0"/>
      </w:pPr>
      <w:r>
        <w:rPr>
          <w:color w:val="3C4A57"/>
          <w:sz w:val="21"/>
          <w:szCs w:val="21"/>
          <w:rFonts w:ascii="Calibri" w:cs="Calibri" w:eastAsia="Calibri" w:hAnsi="Calibri"/>
        </w:rPr>
        <w:t xml:space="preserve">Governance fails when it belongs to no one. These roles are named and accountable.</w:t>
      </w:r>
    </w:p>
    <w:tbl>
      <w:tblPr>
        <w:tblW w:type="dxa" w:w="9360"/>
        <w:tblBorders>
          <w:top w:val="single" w:color="DCE4EA" w:sz="2"/>
          <w:left w:val="single" w:color="DCE4EA" w:sz="2"/>
          <w:bottom w:val="single" w:color="DCE4EA" w:sz="2"/>
          <w:right w:val="single" w:color="DCE4EA" w:sz="2"/>
          <w:insideH w:val="single" w:color="DCE4EA" w:sz="2"/>
          <w:insideV w:val="single" w:color="DCE4EA" w:sz="2"/>
        </w:tblBorders>
      </w:tblPr>
      <w:tblGrid>
        <w:gridCol w:w="2200"/>
        <w:gridCol w:w="7160"/>
      </w:tblGrid>
      <w:tr>
        <w:trPr>
          <w:cantSplit/>
          <w:tblHeader/>
        </w:trPr>
        <w:tc>
          <w:tcPr>
            <w:tcW w:type="dxa" w:w="2200"/>
            <w:shd w:fill="0B2440" w:color="auto" w:val="clear"/>
            <w:tcMar>
              <w:top w:type="dxa" w:w="70"/>
              <w:left w:type="dxa" w:w="110"/>
              <w:bottom w:type="dxa" w:w="70"/>
              <w:right w:type="dxa" w:w="110"/>
            </w:tcMar>
            <w:vAlign w:val="center"/>
          </w:tcPr>
          <w:p>
            <w:pPr>
              <w:spacing w:after="0" w:line="264"/>
            </w:pPr>
            <w:r>
              <w:rPr>
                <w:b/>
                <w:bCs/>
                <w:color w:val="FFFFFF"/>
                <w:sz w:val="19"/>
                <w:szCs w:val="19"/>
                <w:rFonts w:ascii="Calibri" w:cs="Calibri" w:eastAsia="Calibri" w:hAnsi="Calibri"/>
              </w:rPr>
              <w:t xml:space="preserve">Role</w:t>
            </w:r>
          </w:p>
        </w:tc>
        <w:tc>
          <w:tcPr>
            <w:tcW w:type="dxa" w:w="7160"/>
            <w:shd w:fill="0B2440" w:color="auto" w:val="clear"/>
            <w:tcMar>
              <w:top w:type="dxa" w:w="70"/>
              <w:left w:type="dxa" w:w="110"/>
              <w:bottom w:type="dxa" w:w="70"/>
              <w:right w:type="dxa" w:w="110"/>
            </w:tcMar>
            <w:vAlign w:val="center"/>
          </w:tcPr>
          <w:p>
            <w:pPr>
              <w:spacing w:after="0" w:line="264"/>
            </w:pPr>
            <w:r>
              <w:rPr>
                <w:b/>
                <w:bCs/>
                <w:color w:val="FFFFFF"/>
                <w:sz w:val="19"/>
                <w:szCs w:val="19"/>
                <w:rFonts w:ascii="Calibri" w:cs="Calibri" w:eastAsia="Calibri" w:hAnsi="Calibri"/>
              </w:rPr>
              <w:t xml:space="preserve">Responsibility</w:t>
            </w:r>
          </w:p>
        </w:tc>
      </w:tr>
      <w:tr>
        <w:trPr>
          <w:cantSplit/>
        </w:trPr>
        <w:tc>
          <w:tcPr>
            <w:tcW w:type="dxa" w:w="2200"/>
            <w:shd w:fill="FFFFFF" w:color="auto" w:val="clear"/>
            <w:tcMar>
              <w:top w:type="dxa" w:w="70"/>
              <w:left w:type="dxa" w:w="110"/>
              <w:bottom w:type="dxa" w:w="70"/>
              <w:right w:type="dxa" w:w="110"/>
            </w:tcMar>
            <w:vAlign w:val="center"/>
          </w:tcPr>
          <w:p>
            <w:pPr>
              <w:spacing w:after="0" w:line="264"/>
            </w:pPr>
            <w:r>
              <w:rPr>
                <w:color w:val="0C1622"/>
                <w:sz w:val="19"/>
                <w:szCs w:val="19"/>
                <w:rFonts w:ascii="Calibri" w:cs="Calibri" w:eastAsia="Calibri" w:hAnsi="Calibri"/>
              </w:rPr>
              <w:t xml:space="preserve">Policy owner</w:t>
            </w:r>
          </w:p>
        </w:tc>
        <w:tc>
          <w:tcPr>
            <w:tcW w:type="dxa" w:w="7160"/>
            <w:shd w:fill="FFFFFF" w:color="auto" w:val="clear"/>
            <w:tcMar>
              <w:top w:type="dxa" w:w="70"/>
              <w:left w:type="dxa" w:w="110"/>
              <w:bottom w:type="dxa" w:w="70"/>
              <w:right w:type="dxa" w:w="110"/>
            </w:tcMar>
            <w:vAlign w:val="center"/>
          </w:tcPr>
          <w:p>
            <w:pPr>
              <w:spacing w:after="0" w:line="264"/>
            </w:pPr>
            <w:r>
              <w:rPr>
                <w:color w:val="3C4A57"/>
                <w:sz w:val="19"/>
                <w:szCs w:val="19"/>
                <w:rFonts w:ascii="Calibri" w:cs="Calibri" w:eastAsia="Calibri" w:hAnsi="Calibri"/>
              </w:rPr>
              <w:t xml:space="preserve">A named leader (not a committee) who owns this document and the approved-tools list, approves new tools, oversees incidents, and keeps the policy current. Default: [Name / title].</w:t>
            </w:r>
          </w:p>
        </w:tc>
      </w:tr>
      <w:tr>
        <w:trPr>
          <w:cantSplit/>
        </w:trPr>
        <w:tc>
          <w:tcPr>
            <w:tcW w:type="dxa" w:w="2200"/>
            <w:shd w:fill="F2F6F9" w:color="auto" w:val="clear"/>
            <w:tcMar>
              <w:top w:type="dxa" w:w="70"/>
              <w:left w:type="dxa" w:w="110"/>
              <w:bottom w:type="dxa" w:w="70"/>
              <w:right w:type="dxa" w:w="110"/>
            </w:tcMar>
            <w:vAlign w:val="center"/>
          </w:tcPr>
          <w:p>
            <w:pPr>
              <w:spacing w:after="0" w:line="264"/>
            </w:pPr>
            <w:r>
              <w:rPr>
                <w:color w:val="0C1622"/>
                <w:sz w:val="19"/>
                <w:szCs w:val="19"/>
                <w:rFonts w:ascii="Calibri" w:cs="Calibri" w:eastAsia="Calibri" w:hAnsi="Calibri"/>
              </w:rPr>
              <w:t xml:space="preserve">Leadership</w:t>
            </w:r>
          </w:p>
        </w:tc>
        <w:tc>
          <w:tcPr>
            <w:tcW w:type="dxa" w:w="7160"/>
            <w:shd w:fill="F2F6F9" w:color="auto" w:val="clear"/>
            <w:tcMar>
              <w:top w:type="dxa" w:w="70"/>
              <w:left w:type="dxa" w:w="110"/>
              <w:bottom w:type="dxa" w:w="70"/>
              <w:right w:type="dxa" w:w="110"/>
            </w:tcMar>
            <w:vAlign w:val="center"/>
          </w:tcPr>
          <w:p>
            <w:pPr>
              <w:spacing w:after="0" w:line="264"/>
            </w:pPr>
            <w:r>
              <w:rPr>
                <w:color w:val="3C4A57"/>
                <w:sz w:val="19"/>
                <w:szCs w:val="19"/>
                <w:rFonts w:ascii="Calibri" w:cs="Calibri" w:eastAsia="Calibri" w:hAnsi="Calibri"/>
              </w:rPr>
              <w:t xml:space="preserve">Sponsors the policy, models compliant use, and makes clear that following it is expected — not optional.</w:t>
            </w:r>
          </w:p>
        </w:tc>
      </w:tr>
      <w:tr>
        <w:trPr>
          <w:cantSplit/>
        </w:trPr>
        <w:tc>
          <w:tcPr>
            <w:tcW w:type="dxa" w:w="2200"/>
            <w:shd w:fill="FFFFFF" w:color="auto" w:val="clear"/>
            <w:tcMar>
              <w:top w:type="dxa" w:w="70"/>
              <w:left w:type="dxa" w:w="110"/>
              <w:bottom w:type="dxa" w:w="70"/>
              <w:right w:type="dxa" w:w="110"/>
            </w:tcMar>
            <w:vAlign w:val="center"/>
          </w:tcPr>
          <w:p>
            <w:pPr>
              <w:spacing w:after="0" w:line="264"/>
            </w:pPr>
            <w:r>
              <w:rPr>
                <w:color w:val="0C1622"/>
                <w:sz w:val="19"/>
                <w:szCs w:val="19"/>
                <w:rFonts w:ascii="Calibri" w:cs="Calibri" w:eastAsia="Calibri" w:hAnsi="Calibri"/>
              </w:rPr>
              <w:t xml:space="preserve">Managers</w:t>
            </w:r>
          </w:p>
        </w:tc>
        <w:tc>
          <w:tcPr>
            <w:tcW w:type="dxa" w:w="7160"/>
            <w:shd w:fill="FFFFFF" w:color="auto" w:val="clear"/>
            <w:tcMar>
              <w:top w:type="dxa" w:w="70"/>
              <w:left w:type="dxa" w:w="110"/>
              <w:bottom w:type="dxa" w:w="70"/>
              <w:right w:type="dxa" w:w="110"/>
            </w:tcMar>
            <w:vAlign w:val="center"/>
          </w:tcPr>
          <w:p>
            <w:pPr>
              <w:spacing w:after="0" w:line="264"/>
            </w:pPr>
            <w:r>
              <w:rPr>
                <w:color w:val="3C4A57"/>
                <w:sz w:val="19"/>
                <w:szCs w:val="19"/>
                <w:rFonts w:ascii="Calibri" w:cs="Calibri" w:eastAsia="Calibri" w:hAnsi="Calibri"/>
              </w:rPr>
              <w:t xml:space="preserve">Ensure their teams have read and signed the acknowledgment, know the approved tools for their work, and raise questions early.</w:t>
            </w:r>
          </w:p>
        </w:tc>
      </w:tr>
      <w:tr>
        <w:trPr>
          <w:cantSplit/>
        </w:trPr>
        <w:tc>
          <w:tcPr>
            <w:tcW w:type="dxa" w:w="2200"/>
            <w:shd w:fill="F2F6F9" w:color="auto" w:val="clear"/>
            <w:tcMar>
              <w:top w:type="dxa" w:w="70"/>
              <w:left w:type="dxa" w:w="110"/>
              <w:bottom w:type="dxa" w:w="70"/>
              <w:right w:type="dxa" w:w="110"/>
            </w:tcMar>
            <w:vAlign w:val="center"/>
          </w:tcPr>
          <w:p>
            <w:pPr>
              <w:spacing w:after="0" w:line="264"/>
            </w:pPr>
            <w:r>
              <w:rPr>
                <w:color w:val="0C1622"/>
                <w:sz w:val="19"/>
                <w:szCs w:val="19"/>
                <w:rFonts w:ascii="Calibri" w:cs="Calibri" w:eastAsia="Calibri" w:hAnsi="Calibri"/>
              </w:rPr>
              <w:t xml:space="preserve">Employees &amp; contractors</w:t>
            </w:r>
          </w:p>
        </w:tc>
        <w:tc>
          <w:tcPr>
            <w:tcW w:type="dxa" w:w="7160"/>
            <w:shd w:fill="F2F6F9" w:color="auto" w:val="clear"/>
            <w:tcMar>
              <w:top w:type="dxa" w:w="70"/>
              <w:left w:type="dxa" w:w="110"/>
              <w:bottom w:type="dxa" w:w="70"/>
              <w:right w:type="dxa" w:w="110"/>
            </w:tcMar>
            <w:vAlign w:val="center"/>
          </w:tcPr>
          <w:p>
            <w:pPr>
              <w:spacing w:after="0" w:line="264"/>
            </w:pPr>
            <w:r>
              <w:rPr>
                <w:color w:val="3C4A57"/>
                <w:sz w:val="19"/>
                <w:szCs w:val="19"/>
                <w:rFonts w:ascii="Calibri" w:cs="Calibri" w:eastAsia="Calibri" w:hAnsi="Calibri"/>
              </w:rPr>
              <w:t xml:space="preserve">Use only approved tools, honor the data-classification rules, keep a human in the loop, and report incidents promptly.</w:t>
            </w:r>
          </w:p>
        </w:tc>
      </w:tr>
      <w:tr>
        <w:trPr>
          <w:cantSplit/>
        </w:trPr>
        <w:tc>
          <w:tcPr>
            <w:tcW w:type="dxa" w:w="2200"/>
            <w:shd w:fill="FFFFFF" w:color="auto" w:val="clear"/>
            <w:tcMar>
              <w:top w:type="dxa" w:w="70"/>
              <w:left w:type="dxa" w:w="110"/>
              <w:bottom w:type="dxa" w:w="70"/>
              <w:right w:type="dxa" w:w="110"/>
            </w:tcMar>
            <w:vAlign w:val="center"/>
          </w:tcPr>
          <w:p>
            <w:pPr>
              <w:spacing w:after="0" w:line="264"/>
            </w:pPr>
            <w:r>
              <w:rPr>
                <w:color w:val="0C1622"/>
                <w:sz w:val="19"/>
                <w:szCs w:val="19"/>
                <w:rFonts w:ascii="Calibri" w:cs="Calibri" w:eastAsia="Calibri" w:hAnsi="Calibri"/>
              </w:rPr>
              <w:t xml:space="preserve">IT / Fortify AI</w:t>
            </w:r>
          </w:p>
        </w:tc>
        <w:tc>
          <w:tcPr>
            <w:tcW w:type="dxa" w:w="7160"/>
            <w:shd w:fill="FFFFFF" w:color="auto" w:val="clear"/>
            <w:tcMar>
              <w:top w:type="dxa" w:w="70"/>
              <w:left w:type="dxa" w:w="110"/>
              <w:bottom w:type="dxa" w:w="70"/>
              <w:right w:type="dxa" w:w="110"/>
            </w:tcMar>
            <w:vAlign w:val="center"/>
          </w:tcPr>
          <w:p>
            <w:pPr>
              <w:spacing w:after="0" w:line="264"/>
            </w:pPr>
            <w:r>
              <w:rPr>
                <w:color w:val="3C4A57"/>
                <w:sz w:val="19"/>
                <w:szCs w:val="19"/>
                <w:rFonts w:ascii="Calibri" w:cs="Calibri" w:eastAsia="Calibri" w:hAnsi="Calibri"/>
              </w:rPr>
              <w:t xml:space="preserve">Configures and maintains the enforcement layer (Shadow AI Discovery), provisions approved tools, monitors for unapproved use, and supports incident response.</w:t>
            </w:r>
          </w:p>
        </w:tc>
      </w:tr>
    </w:tbl>
    <w:p>
      <w:pPr>
        <w:spacing w:before="220" w:after="60"/>
      </w:pPr>
      <w:r>
        <w:rPr>
          <w:b/>
          <w:bCs/>
          <w:color w:val="12A5DB"/>
          <w:sz w:val="16"/>
          <w:szCs w:val="16"/>
          <w:caps/>
          <w:rFonts w:ascii="Calibri" w:cs="Calibri" w:eastAsia="Calibri" w:hAnsi="Calibri"/>
          <w:spacing w:val="30"/>
        </w:rPr>
        <w:t xml:space="preserve">Section 3</w:t>
      </w:r>
    </w:p>
    <w:p>
      <w:pPr>
        <w:pStyle w:val="Heading1"/>
        <w:keepNext/>
        <w:keepLines/>
        <w:spacing w:before="340" w:after="130"/>
      </w:pPr>
      <w:r>
        <w:rPr>
          <w:b/>
          <w:bCs/>
          <w:color w:val="0B2440"/>
          <w:sz w:val="30"/>
          <w:szCs w:val="30"/>
          <w:rFonts w:ascii="Calibri" w:cs="Calibri" w:eastAsia="Calibri" w:hAnsi="Calibri"/>
        </w:rPr>
        <w:t xml:space="preserve">3. Acceptable use</w:t>
      </w:r>
    </w:p>
    <w:p>
      <w:pPr>
        <w:pBdr>
          <w:bottom w:val="single" w:color="12A5DB" w:sz="6"/>
        </w:pBdr>
        <w:spacing w:before="60" w:after="160"/>
      </w:pPr>
    </w:p>
    <w:p>
      <w:pPr>
        <w:spacing w:after="140" w:line="276" w:before="0"/>
      </w:pPr>
      <w:r>
        <w:rPr>
          <w:color w:val="3C4A57"/>
          <w:sz w:val="21"/>
          <w:szCs w:val="21"/>
          <w:rFonts w:ascii="Calibri" w:cs="Calibri" w:eastAsia="Calibri" w:hAnsi="Calibri"/>
        </w:rPr>
        <w:t xml:space="preserve">Employees are encouraged to use approved AI tools to draft, summarize, research, translate, analyze, brainstorm, and automate repetitive work — provided the information involved is properly classified for that tool (Section 6) and the output is reviewed by a qualified person before it is used (Section 7).</w:t>
      </w:r>
    </w:p>
    <w:p>
      <w:pPr>
        <w:spacing w:after="140" w:line="276" w:before="0"/>
      </w:pPr>
      <w:r>
        <w:rPr>
          <w:color w:val="3C4A57"/>
          <w:sz w:val="21"/>
          <w:szCs w:val="21"/>
          <w:rFonts w:ascii="Calibri" w:cs="Calibri" w:eastAsia="Calibri" w:hAnsi="Calibri"/>
        </w:rPr>
        <w:t xml:space="preserve">The guiding principle: </w:t>
      </w:r>
      <w:r>
        <w:rPr>
          <w:b/>
          <w:bCs/>
          <w:color w:val="0C1622"/>
          <w:sz w:val="21"/>
          <w:szCs w:val="21"/>
          <w:rFonts w:ascii="Calibri" w:cs="Calibri" w:eastAsia="Calibri" w:hAnsi="Calibri"/>
        </w:rPr>
        <w:t xml:space="preserve">AI assists; people remain accountable.</w:t>
      </w:r>
      <w:r>
        <w:rPr>
          <w:color w:val="3C4A57"/>
          <w:sz w:val="21"/>
          <w:szCs w:val="21"/>
          <w:rFonts w:ascii="Calibri" w:cs="Calibri" w:eastAsia="Calibri" w:hAnsi="Calibri"/>
        </w:rPr>
        <w:t xml:space="preserve"> A tool can draft the work, but a person owns the result.</w:t>
      </w:r>
    </w:p>
    <w:p>
      <w:pPr>
        <w:spacing w:before="220" w:after="60"/>
      </w:pPr>
      <w:r>
        <w:rPr>
          <w:b/>
          <w:bCs/>
          <w:color w:val="12A5DB"/>
          <w:sz w:val="16"/>
          <w:szCs w:val="16"/>
          <w:caps/>
          <w:rFonts w:ascii="Calibri" w:cs="Calibri" w:eastAsia="Calibri" w:hAnsi="Calibri"/>
          <w:spacing w:val="30"/>
        </w:rPr>
        <w:t xml:space="preserve">Section 4</w:t>
      </w:r>
    </w:p>
    <w:p>
      <w:pPr>
        <w:pStyle w:val="Heading1"/>
        <w:keepNext/>
        <w:keepLines/>
        <w:spacing w:before="340" w:after="130"/>
      </w:pPr>
      <w:r>
        <w:rPr>
          <w:b/>
          <w:bCs/>
          <w:color w:val="0B2440"/>
          <w:sz w:val="30"/>
          <w:szCs w:val="30"/>
          <w:rFonts w:ascii="Calibri" w:cs="Calibri" w:eastAsia="Calibri" w:hAnsi="Calibri"/>
        </w:rPr>
        <w:t xml:space="preserve">4. Prohibited use</w:t>
      </w:r>
    </w:p>
    <w:p>
      <w:pPr>
        <w:pBdr>
          <w:bottom w:val="single" w:color="12A5DB" w:sz="6"/>
        </w:pBdr>
        <w:spacing w:before="60" w:after="160"/>
      </w:pPr>
    </w:p>
    <w:p>
      <w:pPr>
        <w:spacing w:after="140" w:line="276" w:before="0"/>
      </w:pPr>
      <w:r>
        <w:rPr>
          <w:color w:val="3C4A57"/>
          <w:sz w:val="21"/>
          <w:szCs w:val="21"/>
          <w:rFonts w:ascii="Calibri" w:cs="Calibri" w:eastAsia="Calibri" w:hAnsi="Calibri"/>
        </w:rPr>
        <w:t xml:space="preserve">The following are never permitted, on any account:</w:t>
      </w:r>
    </w:p>
    <w:p>
      <w:pPr>
        <w:pStyle w:val="ListParagraph"/>
        <w:numPr>
          <w:ilvl w:val="0"/>
          <w:numId w:val="2"/>
        </w:numPr>
        <w:spacing w:after="90" w:line="272"/>
      </w:pPr>
      <w:r>
        <w:rPr>
          <w:color w:val="3C4A57"/>
          <w:sz w:val="21"/>
          <w:szCs w:val="21"/>
          <w:rFonts w:ascii="Calibri" w:cs="Calibri" w:eastAsia="Calibri" w:hAnsi="Calibri"/>
        </w:rPr>
        <w:t xml:space="preserve">Entering confidential, regulated, or client data into a public or personal AI account (see the bright line below).</w:t>
      </w:r>
    </w:p>
    <w:p>
      <w:pPr>
        <w:pStyle w:val="ListParagraph"/>
        <w:numPr>
          <w:ilvl w:val="0"/>
          <w:numId w:val="2"/>
        </w:numPr>
        <w:spacing w:after="90" w:line="272"/>
      </w:pPr>
      <w:r>
        <w:rPr>
          <w:color w:val="3C4A57"/>
          <w:sz w:val="21"/>
          <w:szCs w:val="21"/>
          <w:rFonts w:ascii="Calibri" w:cs="Calibri" w:eastAsia="Calibri" w:hAnsi="Calibri"/>
        </w:rPr>
        <w:t xml:space="preserve">Using AI tools that are not on the approved-tools list for company work.</w:t>
      </w:r>
    </w:p>
    <w:p>
      <w:pPr>
        <w:pStyle w:val="ListParagraph"/>
        <w:numPr>
          <w:ilvl w:val="0"/>
          <w:numId w:val="2"/>
        </w:numPr>
        <w:spacing w:after="90" w:line="272"/>
      </w:pPr>
      <w:r>
        <w:rPr>
          <w:color w:val="3C4A57"/>
          <w:sz w:val="21"/>
          <w:szCs w:val="21"/>
          <w:rFonts w:ascii="Calibri" w:cs="Calibri" w:eastAsia="Calibri" w:hAnsi="Calibri"/>
        </w:rPr>
        <w:t xml:space="preserve">Presenting AI output as reviewed or verified when it has not been.</w:t>
      </w:r>
    </w:p>
    <w:p>
      <w:pPr>
        <w:pStyle w:val="ListParagraph"/>
        <w:numPr>
          <w:ilvl w:val="0"/>
          <w:numId w:val="2"/>
        </w:numPr>
        <w:spacing w:after="90" w:line="272"/>
      </w:pPr>
      <w:r>
        <w:rPr>
          <w:color w:val="3C4A57"/>
          <w:sz w:val="21"/>
          <w:szCs w:val="21"/>
          <w:rFonts w:ascii="Calibri" w:cs="Calibri" w:eastAsia="Calibri" w:hAnsi="Calibri"/>
        </w:rPr>
        <w:t xml:space="preserve">Using AI to make a final decision about a person — hiring, termination, credit, care, discipline — without meaningful human judgment.</w:t>
      </w:r>
    </w:p>
    <w:p>
      <w:pPr>
        <w:pStyle w:val="ListParagraph"/>
        <w:numPr>
          <w:ilvl w:val="0"/>
          <w:numId w:val="2"/>
        </w:numPr>
        <w:spacing w:after="90" w:line="272"/>
      </w:pPr>
      <w:r>
        <w:rPr>
          <w:color w:val="3C4A57"/>
          <w:sz w:val="21"/>
          <w:szCs w:val="21"/>
          <w:rFonts w:ascii="Calibri" w:cs="Calibri" w:eastAsia="Calibri" w:hAnsi="Calibri"/>
        </w:rPr>
        <w:t xml:space="preserve">Disabling, evading, or attempting to bypass the company’s AI monitoring or blocking controls.</w:t>
      </w:r>
    </w:p>
    <w:p>
      <w:pPr>
        <w:pStyle w:val="ListParagraph"/>
        <w:numPr>
          <w:ilvl w:val="0"/>
          <w:numId w:val="2"/>
        </w:numPr>
        <w:spacing w:after="90" w:line="272"/>
      </w:pPr>
      <w:r>
        <w:rPr>
          <w:color w:val="3C4A57"/>
          <w:sz w:val="21"/>
          <w:szCs w:val="21"/>
          <w:rFonts w:ascii="Calibri" w:cs="Calibri" w:eastAsia="Calibri" w:hAnsi="Calibri"/>
        </w:rPr>
        <w:t xml:space="preserve">Using AI to create content that is deceptive, discriminatory, infringing, or otherwise unlawful.</w:t>
      </w:r>
    </w:p>
    <w:tbl>
      <w:tblPr>
        <w:tblW w:type="dxa" w:w="9360"/>
        <w:tblBorders>
          <w:top w:val="single" w:color="DCE4EA" w:sz="2"/>
          <w:left w:val="single" w:color="12A5DB" w:sz="24"/>
          <w:bottom w:val="single" w:color="DCE4EA" w:sz="2"/>
          <w:right w:val="single" w:color="DCE4EA" w:sz="2"/>
          <w:insideH w:val="none"/>
          <w:insideV w:val="none"/>
        </w:tblBorders>
      </w:tblPr>
      <w:tblGrid>
        <w:gridCol w:w="9360"/>
      </w:tblGrid>
      <w:tr>
        <w:trPr>
          <w:cantSplit/>
        </w:trPr>
        <w:tc>
          <w:tcPr>
            <w:tcW w:type="dxa" w:w="9360"/>
            <w:shd w:fill="F2F6F9" w:color="auto" w:val="clear"/>
            <w:tcMar>
              <w:top w:type="dxa" w:w="130"/>
              <w:left w:type="dxa" w:w="200"/>
              <w:bottom w:type="dxa" w:w="130"/>
              <w:right w:type="dxa" w:w="160"/>
            </w:tcMar>
          </w:tcPr>
          <w:p>
            <w:pPr>
              <w:spacing w:after="70"/>
            </w:pPr>
            <w:r>
              <w:rPr>
                <w:b/>
                <w:bCs/>
                <w:color w:val="0B2440"/>
                <w:sz w:val="17"/>
                <w:szCs w:val="17"/>
                <w:caps/>
                <w:rFonts w:ascii="Calibri" w:cs="Calibri" w:eastAsia="Calibri" w:hAnsi="Calibri"/>
                <w:spacing w:val="20"/>
              </w:rPr>
              <w:t xml:space="preserve">The bright line</w:t>
            </w:r>
          </w:p>
          <w:p>
            <w:pPr>
              <w:spacing w:after="0" w:line="272"/>
            </w:pPr>
            <w:r>
              <w:rPr>
                <w:b/>
                <w:bCs/>
                <w:color w:val="0C1622"/>
                <w:sz w:val="21"/>
                <w:szCs w:val="21"/>
                <w:rFonts w:ascii="Calibri" w:cs="Calibri" w:eastAsia="Calibri" w:hAnsi="Calibri"/>
              </w:rPr>
              <w:t xml:space="preserve">Never paste client, patient, financial, or personally identifiable information into a public or personal AI account. </w:t>
            </w:r>
            <w:r>
              <w:rPr>
                <w:color w:val="0C1622"/>
                <w:sz w:val="21"/>
                <w:szCs w:val="21"/>
                <w:rFonts w:ascii="Calibri" w:cs="Calibri" w:eastAsia="Calibri" w:hAnsi="Calibri"/>
              </w:rPr>
              <w:t xml:space="preserve">If in doubt, treat it as confidential and use only a tool cleared for that data — or ask the policy owner first.</w:t>
            </w:r>
          </w:p>
        </w:tc>
      </w:tr>
    </w:tbl>
    <w:p>
      <w:pPr>
        <w:spacing w:before="220" w:after="60"/>
      </w:pPr>
      <w:r>
        <w:rPr>
          <w:b/>
          <w:bCs/>
          <w:color w:val="12A5DB"/>
          <w:sz w:val="16"/>
          <w:szCs w:val="16"/>
          <w:caps/>
          <w:rFonts w:ascii="Calibri" w:cs="Calibri" w:eastAsia="Calibri" w:hAnsi="Calibri"/>
          <w:spacing w:val="30"/>
        </w:rPr>
        <w:t xml:space="preserve">Section 5</w:t>
      </w:r>
    </w:p>
    <w:p>
      <w:pPr>
        <w:pStyle w:val="Heading1"/>
        <w:keepNext/>
        <w:keepLines/>
        <w:spacing w:before="340" w:after="130"/>
      </w:pPr>
      <w:r>
        <w:rPr>
          <w:b/>
          <w:bCs/>
          <w:color w:val="0B2440"/>
          <w:sz w:val="30"/>
          <w:szCs w:val="30"/>
          <w:rFonts w:ascii="Calibri" w:cs="Calibri" w:eastAsia="Calibri" w:hAnsi="Calibri"/>
        </w:rPr>
        <w:t xml:space="preserve">5. Approved AI tools</w:t>
      </w:r>
    </w:p>
    <w:p>
      <w:pPr>
        <w:pBdr>
          <w:bottom w:val="single" w:color="12A5DB" w:sz="6"/>
        </w:pBdr>
        <w:spacing w:before="60" w:after="160"/>
      </w:pPr>
    </w:p>
    <w:p>
      <w:pPr>
        <w:spacing w:after="140" w:line="276" w:before="0"/>
      </w:pPr>
      <w:r>
        <w:rPr>
          <w:b/>
          <w:bCs/>
          <w:color w:val="0C1622"/>
          <w:sz w:val="21"/>
          <w:szCs w:val="21"/>
          <w:rFonts w:ascii="Calibri" w:cs="Calibri" w:eastAsia="Calibri" w:hAnsi="Calibri"/>
        </w:rPr>
        <w:t xml:space="preserve">Only the tools checked below are approved for company work. </w:t>
      </w:r>
      <w:r>
        <w:rPr>
          <w:color w:val="3C4A57"/>
          <w:sz w:val="21"/>
          <w:szCs w:val="21"/>
          <w:rFonts w:ascii="Calibri" w:cs="Calibri" w:eastAsia="Calibri" w:hAnsi="Calibri"/>
        </w:rPr>
        <w:t xml:space="preserve">A tool is “approved” only once it has been vetted and configured so that company and client data stays inside a boundary we control — not simply because it is popular or enterprise-branded.</w:t>
      </w:r>
    </w:p>
    <w:p>
      <w:pPr>
        <w:spacing w:after="140" w:line="276" w:before="0"/>
      </w:pPr>
      <w:r>
        <w:rPr>
          <w:color w:val="3C4A57"/>
          <w:sz w:val="21"/>
          <w:szCs w:val="21"/>
          <w:rFonts w:ascii="Calibri" w:cs="Calibri" w:eastAsia="Calibri" w:hAnsi="Calibri"/>
        </w:rPr>
        <w:t xml:space="preserve">Our standard is deliberately strict: </w:t>
      </w:r>
      <w:r>
        <w:rPr>
          <w:b/>
          <w:bCs/>
          <w:color w:val="0C1622"/>
          <w:sz w:val="21"/>
          <w:szCs w:val="21"/>
          <w:rFonts w:ascii="Calibri" w:cs="Calibri" w:eastAsia="Calibri" w:hAnsi="Calibri"/>
        </w:rPr>
        <w:t xml:space="preserve">Fortify AI is the only tool approved out of the box</w:t>
      </w:r>
      <w:r>
        <w:rPr>
          <w:color w:val="3C4A57"/>
          <w:sz w:val="21"/>
          <w:szCs w:val="21"/>
          <w:rFonts w:ascii="Calibri" w:cs="Calibri" w:eastAsia="Calibri" w:hAnsi="Calibri"/>
        </w:rPr>
        <w:t xml:space="preserve">, because it is secure by default — data stays governed with no additional configuration required. Every other tool, including Microsoft 365 Copilot, must pass a readiness assessment and be configured and approved in writing before anyone uses it for company work.</w:t>
      </w:r>
    </w:p>
    <w:tbl>
      <w:tblPr>
        <w:tblW w:type="dxa" w:w="9360"/>
        <w:tblBorders>
          <w:top w:val="single" w:color="DCE4EA" w:sz="2"/>
          <w:left w:val="single" w:color="DCE4EA" w:sz="2"/>
          <w:bottom w:val="single" w:color="DCE4EA" w:sz="2"/>
          <w:right w:val="single" w:color="DCE4EA" w:sz="2"/>
          <w:insideH w:val="single" w:color="DCE4EA" w:sz="2"/>
          <w:insideV w:val="single" w:color="DCE4EA" w:sz="2"/>
        </w:tblBorders>
      </w:tblPr>
      <w:tblGrid>
        <w:gridCol w:w="460"/>
        <w:gridCol w:w="3000"/>
        <w:gridCol w:w="3640"/>
        <w:gridCol w:w="2260"/>
      </w:tblGrid>
      <w:tr>
        <w:trPr>
          <w:cantSplit/>
          <w:tblHeader/>
        </w:trPr>
        <w:tc>
          <w:tcPr>
            <w:tcW w:type="dxa" w:w="460"/>
            <w:shd w:fill="0B2440" w:color="auto" w:val="clear"/>
            <w:tcMar>
              <w:top w:type="dxa" w:w="70"/>
              <w:left w:type="dxa" w:w="110"/>
              <w:bottom w:type="dxa" w:w="70"/>
              <w:right w:type="dxa" w:w="110"/>
            </w:tcMar>
            <w:vAlign w:val="center"/>
          </w:tcPr>
          <w:p>
            <w:pPr>
              <w:spacing w:after="0" w:line="264"/>
            </w:pPr>
            <w:r>
              <w:rPr>
                <w:b/>
                <w:bCs/>
                <w:color w:val="FFFFFF"/>
                <w:sz w:val="19"/>
                <w:szCs w:val="19"/>
                <w:rFonts w:ascii="Calibri" w:cs="Calibri" w:eastAsia="Calibri" w:hAnsi="Calibri"/>
              </w:rPr>
            </w:r>
          </w:p>
        </w:tc>
        <w:tc>
          <w:tcPr>
            <w:tcW w:type="dxa" w:w="3000"/>
            <w:shd w:fill="0B2440" w:color="auto" w:val="clear"/>
            <w:tcMar>
              <w:top w:type="dxa" w:w="70"/>
              <w:left w:type="dxa" w:w="110"/>
              <w:bottom w:type="dxa" w:w="70"/>
              <w:right w:type="dxa" w:w="110"/>
            </w:tcMar>
            <w:vAlign w:val="center"/>
          </w:tcPr>
          <w:p>
            <w:pPr>
              <w:spacing w:after="0" w:line="264"/>
            </w:pPr>
            <w:r>
              <w:rPr>
                <w:b/>
                <w:bCs/>
                <w:color w:val="FFFFFF"/>
                <w:sz w:val="19"/>
                <w:szCs w:val="19"/>
                <w:rFonts w:ascii="Calibri" w:cs="Calibri" w:eastAsia="Calibri" w:hAnsi="Calibri"/>
              </w:rPr>
              <w:t xml:space="preserve">AI tool</w:t>
            </w:r>
          </w:p>
        </w:tc>
        <w:tc>
          <w:tcPr>
            <w:tcW w:type="dxa" w:w="3640"/>
            <w:shd w:fill="0B2440" w:color="auto" w:val="clear"/>
            <w:tcMar>
              <w:top w:type="dxa" w:w="70"/>
              <w:left w:type="dxa" w:w="110"/>
              <w:bottom w:type="dxa" w:w="70"/>
              <w:right w:type="dxa" w:w="110"/>
            </w:tcMar>
            <w:vAlign w:val="center"/>
          </w:tcPr>
          <w:p>
            <w:pPr>
              <w:spacing w:after="0" w:line="264"/>
            </w:pPr>
            <w:r>
              <w:rPr>
                <w:b/>
                <w:bCs/>
                <w:color w:val="FFFFFF"/>
                <w:sz w:val="19"/>
                <w:szCs w:val="19"/>
                <w:rFonts w:ascii="Calibri" w:cs="Calibri" w:eastAsia="Calibri" w:hAnsi="Calibri"/>
              </w:rPr>
              <w:t xml:space="preserve">Status for company work</w:t>
            </w:r>
          </w:p>
        </w:tc>
        <w:tc>
          <w:tcPr>
            <w:tcW w:type="dxa" w:w="2260"/>
            <w:shd w:fill="0B2440" w:color="auto" w:val="clear"/>
            <w:tcMar>
              <w:top w:type="dxa" w:w="70"/>
              <w:left w:type="dxa" w:w="110"/>
              <w:bottom w:type="dxa" w:w="70"/>
              <w:right w:type="dxa" w:w="110"/>
            </w:tcMar>
            <w:vAlign w:val="center"/>
          </w:tcPr>
          <w:p>
            <w:pPr>
              <w:spacing w:after="0" w:line="264"/>
            </w:pPr>
            <w:r>
              <w:rPr>
                <w:b/>
                <w:bCs/>
                <w:color w:val="FFFFFF"/>
                <w:sz w:val="19"/>
                <w:szCs w:val="19"/>
                <w:rFonts w:ascii="Calibri" w:cs="Calibri" w:eastAsia="Calibri" w:hAnsi="Calibri"/>
              </w:rPr>
              <w:t xml:space="preserve">Cleared for</w:t>
            </w:r>
          </w:p>
        </w:tc>
      </w:tr>
      <w:tr>
        <w:trPr>
          <w:cantSplit/>
        </w:trPr>
        <w:tc>
          <w:tcPr>
            <w:tcW w:type="dxa" w:w="460"/>
            <w:shd w:fill="FFFFFF" w:color="auto" w:val="clear"/>
            <w:tcMar>
              <w:top w:type="dxa" w:w="70"/>
              <w:left w:type="dxa" w:w="110"/>
              <w:bottom w:type="dxa" w:w="70"/>
              <w:right w:type="dxa" w:w="110"/>
            </w:tcMar>
            <w:vAlign w:val="center"/>
          </w:tcPr>
          <w:p>
            <w:pPr>
              <w:spacing w:after="0" w:line="264"/>
            </w:pPr>
            <w:r>
              <w:rPr>
                <w:color w:val="0B2440"/>
                <w:sz w:val="20"/>
                <w:szCs w:val="20"/>
                <w:rFonts w:ascii="Calibri" w:cs="Calibri" w:eastAsia="Calibri" w:hAnsi="Calibri"/>
              </w:rPr>
              <w:t xml:space="preserve">☑</w:t>
            </w:r>
          </w:p>
        </w:tc>
        <w:tc>
          <w:tcPr>
            <w:tcW w:type="dxa" w:w="3000"/>
            <w:shd w:fill="FFFFFF" w:color="auto" w:val="clear"/>
            <w:tcMar>
              <w:top w:type="dxa" w:w="70"/>
              <w:left w:type="dxa" w:w="110"/>
              <w:bottom w:type="dxa" w:w="70"/>
              <w:right w:type="dxa" w:w="110"/>
            </w:tcMar>
            <w:vAlign w:val="center"/>
          </w:tcPr>
          <w:p>
            <w:pPr>
              <w:spacing w:after="0" w:line="264"/>
            </w:pPr>
            <w:r>
              <w:rPr>
                <w:b/>
                <w:bCs/>
                <w:color w:val="0C1622"/>
                <w:sz w:val="19"/>
                <w:szCs w:val="19"/>
                <w:rFonts w:ascii="Calibri" w:cs="Calibri" w:eastAsia="Calibri" w:hAnsi="Calibri"/>
              </w:rPr>
              <w:t xml:space="preserve">Fortify AI</w:t>
            </w:r>
          </w:p>
        </w:tc>
        <w:tc>
          <w:tcPr>
            <w:tcW w:type="dxa" w:w="3640"/>
            <w:shd w:fill="FFFFFF" w:color="auto" w:val="clear"/>
            <w:tcMar>
              <w:top w:type="dxa" w:w="70"/>
              <w:left w:type="dxa" w:w="110"/>
              <w:bottom w:type="dxa" w:w="70"/>
              <w:right w:type="dxa" w:w="110"/>
            </w:tcMar>
            <w:vAlign w:val="center"/>
          </w:tcPr>
          <w:p>
            <w:pPr>
              <w:spacing w:after="0" w:line="264"/>
            </w:pPr>
            <w:r>
              <w:rPr>
                <w:b/>
                <w:bCs/>
                <w:color w:val="0F7B3E"/>
                <w:sz w:val="19"/>
                <w:szCs w:val="19"/>
                <w:rFonts w:ascii="Calibri" w:cs="Calibri" w:eastAsia="Calibri" w:hAnsi="Calibri"/>
              </w:rPr>
              <w:t xml:space="preserve">APPROVED — secure by default</w:t>
            </w:r>
          </w:p>
        </w:tc>
        <w:tc>
          <w:tcPr>
            <w:tcW w:type="dxa" w:w="2260"/>
            <w:shd w:fill="FFFFFF" w:color="auto" w:val="clear"/>
            <w:tcMar>
              <w:top w:type="dxa" w:w="70"/>
              <w:left w:type="dxa" w:w="110"/>
              <w:bottom w:type="dxa" w:w="70"/>
              <w:right w:type="dxa" w:w="110"/>
            </w:tcMar>
            <w:vAlign w:val="center"/>
          </w:tcPr>
          <w:p>
            <w:pPr>
              <w:spacing w:after="0" w:line="264"/>
            </w:pPr>
            <w:r>
              <w:rPr>
                <w:color w:val="3C4A57"/>
                <w:sz w:val="19"/>
                <w:szCs w:val="19"/>
                <w:rFonts w:ascii="Calibri" w:cs="Calibri" w:eastAsia="Calibri" w:hAnsi="Calibri"/>
              </w:rPr>
              <w:t xml:space="preserve">Internal &amp; confidential (per configuration)</w:t>
            </w:r>
          </w:p>
        </w:tc>
      </w:tr>
      <w:tr>
        <w:trPr>
          <w:cantSplit/>
        </w:trPr>
        <w:tc>
          <w:tcPr>
            <w:tcW w:type="dxa" w:w="460"/>
            <w:shd w:fill="F2F6F9" w:color="auto" w:val="clear"/>
            <w:tcMar>
              <w:top w:type="dxa" w:w="70"/>
              <w:left w:type="dxa" w:w="110"/>
              <w:bottom w:type="dxa" w:w="70"/>
              <w:right w:type="dxa" w:w="110"/>
            </w:tcMar>
            <w:vAlign w:val="center"/>
          </w:tcPr>
          <w:p>
            <w:pPr>
              <w:spacing w:after="0" w:line="264"/>
            </w:pPr>
            <w:r>
              <w:rPr>
                <w:color w:val="6B7C8B"/>
                <w:sz w:val="20"/>
                <w:szCs w:val="20"/>
                <w:rFonts w:ascii="Calibri" w:cs="Calibri" w:eastAsia="Calibri" w:hAnsi="Calibri"/>
              </w:rPr>
              <w:t xml:space="preserve">☐</w:t>
            </w:r>
          </w:p>
        </w:tc>
        <w:tc>
          <w:tcPr>
            <w:tcW w:type="dxa" w:w="3000"/>
            <w:shd w:fill="F2F6F9" w:color="auto" w:val="clear"/>
            <w:tcMar>
              <w:top w:type="dxa" w:w="70"/>
              <w:left w:type="dxa" w:w="110"/>
              <w:bottom w:type="dxa" w:w="70"/>
              <w:right w:type="dxa" w:w="110"/>
            </w:tcMar>
            <w:vAlign w:val="center"/>
          </w:tcPr>
          <w:p>
            <w:pPr>
              <w:spacing w:after="0" w:line="264"/>
            </w:pPr>
            <w:r>
              <w:rPr>
                <w:color w:val="3C4A57"/>
                <w:sz w:val="19"/>
                <w:szCs w:val="19"/>
                <w:rFonts w:ascii="Calibri" w:cs="Calibri" w:eastAsia="Calibri" w:hAnsi="Calibri"/>
              </w:rPr>
              <w:t xml:space="preserve">Microsoft 365 Copilot</w:t>
            </w:r>
          </w:p>
        </w:tc>
        <w:tc>
          <w:tcPr>
            <w:tcW w:type="dxa" w:w="3640"/>
            <w:shd w:fill="F2F6F9" w:color="auto" w:val="clear"/>
            <w:tcMar>
              <w:top w:type="dxa" w:w="70"/>
              <w:left w:type="dxa" w:w="110"/>
              <w:bottom w:type="dxa" w:w="70"/>
              <w:right w:type="dxa" w:w="110"/>
            </w:tcMar>
            <w:vAlign w:val="center"/>
          </w:tcPr>
          <w:p>
            <w:pPr>
              <w:spacing w:after="0" w:line="264"/>
            </w:pPr>
            <w:r>
              <w:rPr>
                <w:color w:val="3C4A57"/>
                <w:sz w:val="19"/>
                <w:szCs w:val="19"/>
                <w:rFonts w:ascii="Calibri" w:cs="Calibri" w:eastAsia="Calibri" w:hAnsi="Calibri"/>
              </w:rPr>
              <w:t xml:space="preserve">NOT approved until an AI readiness assessment + permissions remediation is complete (see note below)</w:t>
            </w:r>
          </w:p>
        </w:tc>
        <w:tc>
          <w:tcPr>
            <w:tcW w:type="dxa" w:w="2260"/>
            <w:shd w:fill="F2F6F9" w:color="auto" w:val="clear"/>
            <w:tcMar>
              <w:top w:type="dxa" w:w="70"/>
              <w:left w:type="dxa" w:w="110"/>
              <w:bottom w:type="dxa" w:w="70"/>
              <w:right w:type="dxa" w:w="110"/>
            </w:tcMar>
            <w:vAlign w:val="center"/>
          </w:tcPr>
          <w:p>
            <w:pPr>
              <w:spacing w:after="0" w:line="264"/>
            </w:pPr>
            <w:r>
              <w:rPr>
                <w:color w:val="3C4A57"/>
                <w:sz w:val="19"/>
                <w:szCs w:val="19"/>
                <w:rFonts w:ascii="Calibri" w:cs="Calibri" w:eastAsia="Calibri" w:hAnsi="Calibri"/>
              </w:rPr>
              <w:t xml:space="preserve">Only after assessment &amp; written approval</w:t>
            </w:r>
          </w:p>
        </w:tc>
      </w:tr>
      <w:tr>
        <w:trPr>
          <w:cantSplit/>
        </w:trPr>
        <w:tc>
          <w:tcPr>
            <w:tcW w:type="dxa" w:w="460"/>
            <w:shd w:fill="FFFFFF" w:color="auto" w:val="clear"/>
            <w:tcMar>
              <w:top w:type="dxa" w:w="70"/>
              <w:left w:type="dxa" w:w="110"/>
              <w:bottom w:type="dxa" w:w="70"/>
              <w:right w:type="dxa" w:w="110"/>
            </w:tcMar>
            <w:vAlign w:val="center"/>
          </w:tcPr>
          <w:p>
            <w:pPr>
              <w:spacing w:after="0" w:line="264"/>
            </w:pPr>
            <w:r>
              <w:rPr>
                <w:color w:val="6B7C8B"/>
                <w:sz w:val="20"/>
                <w:szCs w:val="20"/>
                <w:rFonts w:ascii="Calibri" w:cs="Calibri" w:eastAsia="Calibri" w:hAnsi="Calibri"/>
              </w:rPr>
              <w:t xml:space="preserve">☐</w:t>
            </w:r>
          </w:p>
        </w:tc>
        <w:tc>
          <w:tcPr>
            <w:tcW w:type="dxa" w:w="3000"/>
            <w:shd w:fill="FFFFFF" w:color="auto" w:val="clear"/>
            <w:tcMar>
              <w:top w:type="dxa" w:w="70"/>
              <w:left w:type="dxa" w:w="110"/>
              <w:bottom w:type="dxa" w:w="70"/>
              <w:right w:type="dxa" w:w="110"/>
            </w:tcMar>
            <w:vAlign w:val="center"/>
          </w:tcPr>
          <w:p>
            <w:pPr>
              <w:spacing w:after="0" w:line="264"/>
            </w:pPr>
            <w:r>
              <w:rPr>
                <w:color w:val="3C4A57"/>
                <w:sz w:val="19"/>
                <w:szCs w:val="19"/>
                <w:rFonts w:ascii="Calibri" w:cs="Calibri" w:eastAsia="Calibri" w:hAnsi="Calibri"/>
              </w:rPr>
              <w:t xml:space="preserve">Other enterprise AI (Azure OpenAI, Claude for Work, ChatGPT Enterprise, Amazon Bedrock, Google Gemini)</w:t>
            </w:r>
          </w:p>
        </w:tc>
        <w:tc>
          <w:tcPr>
            <w:tcW w:type="dxa" w:w="3640"/>
            <w:shd w:fill="FFFFFF" w:color="auto" w:val="clear"/>
            <w:tcMar>
              <w:top w:type="dxa" w:w="70"/>
              <w:left w:type="dxa" w:w="110"/>
              <w:bottom w:type="dxa" w:w="70"/>
              <w:right w:type="dxa" w:w="110"/>
            </w:tcMar>
            <w:vAlign w:val="center"/>
          </w:tcPr>
          <w:p>
            <w:pPr>
              <w:spacing w:after="0" w:line="264"/>
            </w:pPr>
            <w:r>
              <w:rPr>
                <w:color w:val="3C4A57"/>
                <w:sz w:val="19"/>
                <w:szCs w:val="19"/>
                <w:rFonts w:ascii="Calibri" w:cs="Calibri" w:eastAsia="Calibri" w:hAnsi="Calibri"/>
              </w:rPr>
              <w:t xml:space="preserve">NOT approved until vetted, configured, and approved in writing</w:t>
            </w:r>
          </w:p>
        </w:tc>
        <w:tc>
          <w:tcPr>
            <w:tcW w:type="dxa" w:w="2260"/>
            <w:shd w:fill="FFFFFF" w:color="auto" w:val="clear"/>
            <w:tcMar>
              <w:top w:type="dxa" w:w="70"/>
              <w:left w:type="dxa" w:w="110"/>
              <w:bottom w:type="dxa" w:w="70"/>
              <w:right w:type="dxa" w:w="110"/>
            </w:tcMar>
            <w:vAlign w:val="center"/>
          </w:tcPr>
          <w:p>
            <w:pPr>
              <w:spacing w:after="0" w:line="264"/>
            </w:pPr>
            <w:r>
              <w:rPr>
                <w:color w:val="3C4A57"/>
                <w:sz w:val="19"/>
                <w:szCs w:val="19"/>
                <w:rFonts w:ascii="Calibri" w:cs="Calibri" w:eastAsia="Calibri" w:hAnsi="Calibri"/>
              </w:rPr>
              <w:t xml:space="preserve">Only after assessment &amp; written approval</w:t>
            </w:r>
          </w:p>
        </w:tc>
      </w:tr>
      <w:tr>
        <w:trPr>
          <w:cantSplit/>
        </w:trPr>
        <w:tc>
          <w:tcPr>
            <w:tcW w:type="dxa" w:w="460"/>
            <w:shd w:fill="F2F6F9" w:color="auto" w:val="clear"/>
            <w:tcMar>
              <w:top w:type="dxa" w:w="70"/>
              <w:left w:type="dxa" w:w="110"/>
              <w:bottom w:type="dxa" w:w="70"/>
              <w:right w:type="dxa" w:w="110"/>
            </w:tcMar>
            <w:vAlign w:val="center"/>
          </w:tcPr>
          <w:p>
            <w:pPr>
              <w:spacing w:after="0" w:line="264"/>
            </w:pPr>
            <w:r>
              <w:rPr>
                <w:color w:val="6B7C8B"/>
                <w:sz w:val="20"/>
                <w:szCs w:val="20"/>
                <w:rFonts w:ascii="Calibri" w:cs="Calibri" w:eastAsia="Calibri" w:hAnsi="Calibri"/>
              </w:rPr>
              <w:t xml:space="preserve">☐</w:t>
            </w:r>
          </w:p>
        </w:tc>
        <w:tc>
          <w:tcPr>
            <w:tcW w:type="dxa" w:w="3000"/>
            <w:shd w:fill="F2F6F9" w:color="auto" w:val="clear"/>
            <w:tcMar>
              <w:top w:type="dxa" w:w="70"/>
              <w:left w:type="dxa" w:w="110"/>
              <w:bottom w:type="dxa" w:w="70"/>
              <w:right w:type="dxa" w:w="110"/>
            </w:tcMar>
            <w:vAlign w:val="center"/>
          </w:tcPr>
          <w:p>
            <w:pPr>
              <w:spacing w:after="0" w:line="264"/>
            </w:pPr>
            <w:r>
              <w:rPr>
                <w:color w:val="0C1622"/>
                <w:sz w:val="19"/>
                <w:szCs w:val="19"/>
                <w:rFonts w:ascii="Calibri" w:cs="Calibri" w:eastAsia="Calibri" w:hAnsi="Calibri"/>
              </w:rPr>
              <w:t xml:space="preserve">[Other — approved in writing]: __________________</w:t>
            </w:r>
          </w:p>
        </w:tc>
        <w:tc>
          <w:tcPr>
            <w:tcW w:type="dxa" w:w="3640"/>
            <w:shd w:fill="F2F6F9" w:color="auto" w:val="clear"/>
            <w:tcMar>
              <w:top w:type="dxa" w:w="70"/>
              <w:left w:type="dxa" w:w="110"/>
              <w:bottom w:type="dxa" w:w="70"/>
              <w:right w:type="dxa" w:w="110"/>
            </w:tcMar>
            <w:vAlign w:val="center"/>
          </w:tcPr>
          <w:p>
            <w:pPr>
              <w:spacing w:after="0" w:line="264"/>
            </w:pPr>
            <w:r>
              <w:rPr>
                <w:color w:val="3C4A57"/>
                <w:sz w:val="19"/>
                <w:szCs w:val="19"/>
                <w:rFonts w:ascii="Calibri" w:cs="Calibri" w:eastAsia="Calibri" w:hAnsi="Calibri"/>
              </w:rPr>
              <w:t xml:space="preserve">[Approval date + policy owner]</w:t>
            </w:r>
          </w:p>
        </w:tc>
        <w:tc>
          <w:tcPr>
            <w:tcW w:type="dxa" w:w="2260"/>
            <w:shd w:fill="F2F6F9" w:color="auto" w:val="clear"/>
            <w:tcMar>
              <w:top w:type="dxa" w:w="70"/>
              <w:left w:type="dxa" w:w="110"/>
              <w:bottom w:type="dxa" w:w="70"/>
              <w:right w:type="dxa" w:w="110"/>
            </w:tcMar>
            <w:vAlign w:val="center"/>
          </w:tcPr>
          <w:p>
            <w:pPr>
              <w:spacing w:after="0" w:line="264"/>
            </w:pPr>
            <w:r>
              <w:rPr>
                <w:color w:val="3C4A57"/>
                <w:sz w:val="19"/>
                <w:szCs w:val="19"/>
                <w:rFonts w:ascii="Calibri" w:cs="Calibri" w:eastAsia="Calibri" w:hAnsi="Calibri"/>
              </w:rPr>
              <w:t xml:space="preserve">[Define]</w:t>
            </w:r>
          </w:p>
        </w:tc>
      </w:tr>
    </w:tbl>
    <w:tbl>
      <w:tblPr>
        <w:tblW w:type="dxa" w:w="9360"/>
        <w:tblBorders>
          <w:top w:val="single" w:color="DCE4EA" w:sz="2"/>
          <w:left w:val="single" w:color="12A5DB" w:sz="24"/>
          <w:bottom w:val="single" w:color="DCE4EA" w:sz="2"/>
          <w:right w:val="single" w:color="DCE4EA" w:sz="2"/>
          <w:insideH w:val="none"/>
          <w:insideV w:val="none"/>
        </w:tblBorders>
      </w:tblPr>
      <w:tblGrid>
        <w:gridCol w:w="9360"/>
      </w:tblGrid>
      <w:tr>
        <w:trPr>
          <w:cantSplit/>
        </w:trPr>
        <w:tc>
          <w:tcPr>
            <w:tcW w:type="dxa" w:w="9360"/>
            <w:shd w:fill="F2F6F9" w:color="auto" w:val="clear"/>
            <w:tcMar>
              <w:top w:type="dxa" w:w="130"/>
              <w:left w:type="dxa" w:w="200"/>
              <w:bottom w:type="dxa" w:w="130"/>
              <w:right w:type="dxa" w:w="160"/>
            </w:tcMar>
          </w:tcPr>
          <w:p>
            <w:pPr>
              <w:spacing w:after="70"/>
            </w:pPr>
            <w:r>
              <w:rPr>
                <w:b/>
                <w:bCs/>
                <w:color w:val="0B2440"/>
                <w:sz w:val="17"/>
                <w:szCs w:val="17"/>
                <w:caps/>
                <w:rFonts w:ascii="Calibri" w:cs="Calibri" w:eastAsia="Calibri" w:hAnsi="Calibri"/>
                <w:spacing w:val="20"/>
              </w:rPr>
              <w:t xml:space="preserve">Why Microsoft 365 Copilot needs an assessment first</w:t>
            </w:r>
          </w:p>
          <w:p>
            <w:pPr>
              <w:spacing w:after="0" w:line="272"/>
            </w:pPr>
            <w:r>
              <w:rPr>
                <w:color w:val="0C1622"/>
                <w:sz w:val="21"/>
                <w:szCs w:val="21"/>
                <w:rFonts w:ascii="Calibri" w:cs="Calibri" w:eastAsia="Calibri" w:hAnsi="Calibri"/>
              </w:rPr>
              <w:t xml:space="preserve">Copilot surfaces whatever a user already has permission to open. If OneDrive, SharePoint, and Teams permissions were never fully locked down — which is common in environments that have grown over time — Copilot can make HR, accounting, and other sensitive files instantly discoverable to any employee who simply asks for them. Deploying Copilot before a readiness assessment and permissions remediation turns an invisible oversharing problem into a searchable one. </w:t>
            </w:r>
            <w:r>
              <w:rPr>
                <w:b/>
                <w:bCs/>
                <w:color w:val="0B2440"/>
                <w:sz w:val="21"/>
                <w:szCs w:val="21"/>
                <w:rFonts w:ascii="Calibri" w:cs="Calibri" w:eastAsia="Calibri" w:hAnsi="Calibri"/>
              </w:rPr>
              <w:t xml:space="preserve">Fortify AI completes this assessment and remediation before any Copilot rollout.</w:t>
            </w:r>
          </w:p>
        </w:tc>
      </w:tr>
    </w:tbl>
    <w:tbl>
      <w:tblPr>
        <w:tblW w:type="dxa" w:w="9360"/>
        <w:tblBorders>
          <w:top w:val="single" w:color="DCE4EA" w:sz="2"/>
          <w:left w:val="single" w:color="12A5DB" w:sz="24"/>
          <w:bottom w:val="single" w:color="DCE4EA" w:sz="2"/>
          <w:right w:val="single" w:color="DCE4EA" w:sz="2"/>
          <w:insideH w:val="none"/>
          <w:insideV w:val="none"/>
        </w:tblBorders>
      </w:tblPr>
      <w:tblGrid>
        <w:gridCol w:w="9360"/>
      </w:tblGrid>
      <w:tr>
        <w:trPr>
          <w:cantSplit/>
        </w:trPr>
        <w:tc>
          <w:tcPr>
            <w:tcW w:type="dxa" w:w="9360"/>
            <w:shd w:fill="F2F6F9" w:color="auto" w:val="clear"/>
            <w:tcMar>
              <w:top w:type="dxa" w:w="130"/>
              <w:left w:type="dxa" w:w="200"/>
              <w:bottom w:type="dxa" w:w="130"/>
              <w:right w:type="dxa" w:w="160"/>
            </w:tcMar>
          </w:tcPr>
          <w:p>
            <w:pPr>
              <w:spacing w:after="70"/>
            </w:pPr>
            <w:r>
              <w:rPr>
                <w:b/>
                <w:bCs/>
                <w:color w:val="0B2440"/>
                <w:sz w:val="17"/>
                <w:szCs w:val="17"/>
                <w:caps/>
                <w:rFonts w:ascii="Calibri" w:cs="Calibri" w:eastAsia="Calibri" w:hAnsi="Calibri"/>
                <w:spacing w:val="20"/>
              </w:rPr>
              <w:t xml:space="preserve">The approved-tools rule</w:t>
            </w:r>
          </w:p>
          <w:p>
            <w:pPr>
              <w:spacing w:after="0" w:line="272"/>
            </w:pPr>
            <w:r>
              <w:rPr>
                <w:b/>
                <w:bCs/>
                <w:color w:val="0C1622"/>
                <w:sz w:val="21"/>
                <w:szCs w:val="21"/>
                <w:rFonts w:ascii="Calibri" w:cs="Calibri" w:eastAsia="Calibri" w:hAnsi="Calibri"/>
              </w:rPr>
              <w:t xml:space="preserve">Any AI tool not checked above is prohibited for company work. </w:t>
            </w:r>
            <w:r>
              <w:rPr>
                <w:color w:val="0C1622"/>
                <w:sz w:val="21"/>
                <w:szCs w:val="21"/>
                <w:rFonts w:ascii="Calibri" w:cs="Calibri" w:eastAsia="Calibri" w:hAnsi="Calibri"/>
              </w:rPr>
              <w:t xml:space="preserve">Additions require advance written approval from the policy owner. Personal or consumer AI accounts may never be used for company work, on any device — unless expressly permitted in writing elsewhere in this policy.</w:t>
            </w:r>
          </w:p>
        </w:tc>
      </w:tr>
    </w:tbl>
    <w:p>
      <w:pPr>
        <w:spacing w:before="220" w:after="60"/>
      </w:pPr>
      <w:r>
        <w:rPr>
          <w:b/>
          <w:bCs/>
          <w:color w:val="12A5DB"/>
          <w:sz w:val="16"/>
          <w:szCs w:val="16"/>
          <w:caps/>
          <w:rFonts w:ascii="Calibri" w:cs="Calibri" w:eastAsia="Calibri" w:hAnsi="Calibri"/>
          <w:spacing w:val="30"/>
        </w:rPr>
        <w:t xml:space="preserve">Section 6</w:t>
      </w:r>
    </w:p>
    <w:p>
      <w:pPr>
        <w:pStyle w:val="Heading1"/>
        <w:keepNext/>
        <w:keepLines/>
        <w:spacing w:before="340" w:after="130"/>
      </w:pPr>
      <w:r>
        <w:rPr>
          <w:b/>
          <w:bCs/>
          <w:color w:val="0B2440"/>
          <w:sz w:val="30"/>
          <w:szCs w:val="30"/>
          <w:rFonts w:ascii="Calibri" w:cs="Calibri" w:eastAsia="Calibri" w:hAnsi="Calibri"/>
        </w:rPr>
        <w:t xml:space="preserve">6. Data classification standard</w:t>
      </w:r>
    </w:p>
    <w:p>
      <w:pPr>
        <w:pBdr>
          <w:bottom w:val="single" w:color="12A5DB" w:sz="6"/>
        </w:pBdr>
        <w:spacing w:before="60" w:after="160"/>
      </w:pPr>
    </w:p>
    <w:p>
      <w:pPr>
        <w:spacing w:after="140" w:line="276" w:before="0"/>
      </w:pPr>
      <w:r>
        <w:rPr>
          <w:color w:val="3C4A57"/>
          <w:sz w:val="21"/>
          <w:szCs w:val="21"/>
          <w:rFonts w:ascii="Calibri" w:cs="Calibri" w:eastAsia="Calibri" w:hAnsi="Calibri"/>
        </w:rPr>
        <w:t xml:space="preserve">This is the most important section. It converts abstract risk into a rule an employee can apply on every task.</w:t>
      </w:r>
    </w:p>
    <w:tbl>
      <w:tblPr>
        <w:tblW w:type="dxa" w:w="9360"/>
        <w:tblBorders>
          <w:top w:val="single" w:color="DCE4EA" w:sz="2"/>
          <w:left w:val="single" w:color="DCE4EA" w:sz="2"/>
          <w:bottom w:val="single" w:color="DCE4EA" w:sz="2"/>
          <w:right w:val="single" w:color="DCE4EA" w:sz="2"/>
          <w:insideH w:val="single" w:color="DCE4EA" w:sz="2"/>
          <w:insideV w:val="single" w:color="DCE4EA" w:sz="2"/>
        </w:tblBorders>
      </w:tblPr>
      <w:tblGrid>
        <w:gridCol w:w="1700"/>
        <w:gridCol w:w="4160"/>
        <w:gridCol w:w="3500"/>
      </w:tblGrid>
      <w:tr>
        <w:trPr>
          <w:cantSplit/>
          <w:tblHeader/>
        </w:trPr>
        <w:tc>
          <w:tcPr>
            <w:tcW w:type="dxa" w:w="1700"/>
            <w:shd w:fill="0B2440" w:color="auto" w:val="clear"/>
            <w:tcMar>
              <w:top w:type="dxa" w:w="70"/>
              <w:left w:type="dxa" w:w="110"/>
              <w:bottom w:type="dxa" w:w="70"/>
              <w:right w:type="dxa" w:w="110"/>
            </w:tcMar>
            <w:vAlign w:val="center"/>
          </w:tcPr>
          <w:p>
            <w:pPr>
              <w:spacing w:after="0" w:line="264"/>
            </w:pPr>
            <w:r>
              <w:rPr>
                <w:b/>
                <w:bCs/>
                <w:color w:val="FFFFFF"/>
                <w:sz w:val="19"/>
                <w:szCs w:val="19"/>
                <w:rFonts w:ascii="Calibri" w:cs="Calibri" w:eastAsia="Calibri" w:hAnsi="Calibri"/>
              </w:rPr>
              <w:t xml:space="preserve">Tier</w:t>
            </w:r>
          </w:p>
        </w:tc>
        <w:tc>
          <w:tcPr>
            <w:tcW w:type="dxa" w:w="4160"/>
            <w:shd w:fill="0B2440" w:color="auto" w:val="clear"/>
            <w:tcMar>
              <w:top w:type="dxa" w:w="70"/>
              <w:left w:type="dxa" w:w="110"/>
              <w:bottom w:type="dxa" w:w="70"/>
              <w:right w:type="dxa" w:w="110"/>
            </w:tcMar>
            <w:vAlign w:val="center"/>
          </w:tcPr>
          <w:p>
            <w:pPr>
              <w:spacing w:after="0" w:line="264"/>
            </w:pPr>
            <w:r>
              <w:rPr>
                <w:b/>
                <w:bCs/>
                <w:color w:val="FFFFFF"/>
                <w:sz w:val="19"/>
                <w:szCs w:val="19"/>
                <w:rFonts w:ascii="Calibri" w:cs="Calibri" w:eastAsia="Calibri" w:hAnsi="Calibri"/>
              </w:rPr>
              <w:t xml:space="preserve">Examples</w:t>
            </w:r>
          </w:p>
        </w:tc>
        <w:tc>
          <w:tcPr>
            <w:tcW w:type="dxa" w:w="3500"/>
            <w:shd w:fill="0B2440" w:color="auto" w:val="clear"/>
            <w:tcMar>
              <w:top w:type="dxa" w:w="70"/>
              <w:left w:type="dxa" w:w="110"/>
              <w:bottom w:type="dxa" w:w="70"/>
              <w:right w:type="dxa" w:w="110"/>
            </w:tcMar>
            <w:vAlign w:val="center"/>
          </w:tcPr>
          <w:p>
            <w:pPr>
              <w:spacing w:after="0" w:line="264"/>
            </w:pPr>
            <w:r>
              <w:rPr>
                <w:b/>
                <w:bCs/>
                <w:color w:val="FFFFFF"/>
                <w:sz w:val="19"/>
                <w:szCs w:val="19"/>
                <w:rFonts w:ascii="Calibri" w:cs="Calibri" w:eastAsia="Calibri" w:hAnsi="Calibri"/>
              </w:rPr>
              <w:t xml:space="preserve">AI use rule</w:t>
            </w:r>
          </w:p>
        </w:tc>
      </w:tr>
      <w:tr>
        <w:trPr>
          <w:cantSplit/>
        </w:trPr>
        <w:tc>
          <w:tcPr>
            <w:tcW w:type="dxa" w:w="1700"/>
            <w:shd w:fill="FFFFFF" w:color="auto" w:val="clear"/>
            <w:tcMar>
              <w:top w:type="dxa" w:w="70"/>
              <w:left w:type="dxa" w:w="110"/>
              <w:bottom w:type="dxa" w:w="70"/>
              <w:right w:type="dxa" w:w="110"/>
            </w:tcMar>
            <w:vAlign w:val="center"/>
          </w:tcPr>
          <w:p>
            <w:pPr>
              <w:spacing w:after="0" w:line="264"/>
            </w:pPr>
            <w:r>
              <w:rPr>
                <w:b/>
                <w:bCs/>
                <w:color w:val="0C1622"/>
                <w:sz w:val="19"/>
                <w:szCs w:val="19"/>
                <w:rFonts w:ascii="Calibri" w:cs="Calibri" w:eastAsia="Calibri" w:hAnsi="Calibri"/>
              </w:rPr>
              <w:t xml:space="preserve">Public</w:t>
            </w:r>
          </w:p>
        </w:tc>
        <w:tc>
          <w:tcPr>
            <w:tcW w:type="dxa" w:w="4160"/>
            <w:shd w:fill="FFFFFF" w:color="auto" w:val="clear"/>
            <w:tcMar>
              <w:top w:type="dxa" w:w="70"/>
              <w:left w:type="dxa" w:w="110"/>
              <w:bottom w:type="dxa" w:w="70"/>
              <w:right w:type="dxa" w:w="110"/>
            </w:tcMar>
            <w:vAlign w:val="center"/>
          </w:tcPr>
          <w:p>
            <w:pPr>
              <w:spacing w:after="0" w:line="264"/>
            </w:pPr>
            <w:r>
              <w:rPr>
                <w:color w:val="3C4A57"/>
                <w:sz w:val="19"/>
                <w:szCs w:val="19"/>
                <w:rFonts w:ascii="Calibri" w:cs="Calibri" w:eastAsia="Calibri" w:hAnsi="Calibri"/>
              </w:rPr>
              <w:t xml:space="preserve">Marketing copy already published, public web content</w:t>
            </w:r>
          </w:p>
        </w:tc>
        <w:tc>
          <w:tcPr>
            <w:tcW w:type="dxa" w:w="3500"/>
            <w:shd w:fill="FFFFFF" w:color="auto" w:val="clear"/>
            <w:tcMar>
              <w:top w:type="dxa" w:w="70"/>
              <w:left w:type="dxa" w:w="110"/>
              <w:bottom w:type="dxa" w:w="70"/>
              <w:right w:type="dxa" w:w="110"/>
            </w:tcMar>
            <w:vAlign w:val="center"/>
          </w:tcPr>
          <w:p>
            <w:pPr>
              <w:spacing w:after="0" w:line="264"/>
            </w:pPr>
            <w:r>
              <w:rPr>
                <w:color w:val="3C4A57"/>
                <w:sz w:val="19"/>
                <w:szCs w:val="19"/>
                <w:rFonts w:ascii="Calibri" w:cs="Calibri" w:eastAsia="Calibri" w:hAnsi="Calibri"/>
              </w:rPr>
              <w:t xml:space="preserve">Any approved tool, including public tools</w:t>
            </w:r>
          </w:p>
        </w:tc>
      </w:tr>
      <w:tr>
        <w:trPr>
          <w:cantSplit/>
        </w:trPr>
        <w:tc>
          <w:tcPr>
            <w:tcW w:type="dxa" w:w="1700"/>
            <w:shd w:fill="F2F6F9" w:color="auto" w:val="clear"/>
            <w:tcMar>
              <w:top w:type="dxa" w:w="70"/>
              <w:left w:type="dxa" w:w="110"/>
              <w:bottom w:type="dxa" w:w="70"/>
              <w:right w:type="dxa" w:w="110"/>
            </w:tcMar>
            <w:vAlign w:val="center"/>
          </w:tcPr>
          <w:p>
            <w:pPr>
              <w:spacing w:after="0" w:line="264"/>
            </w:pPr>
            <w:r>
              <w:rPr>
                <w:b/>
                <w:bCs/>
                <w:color w:val="0C1622"/>
                <w:sz w:val="19"/>
                <w:szCs w:val="19"/>
                <w:rFonts w:ascii="Calibri" w:cs="Calibri" w:eastAsia="Calibri" w:hAnsi="Calibri"/>
              </w:rPr>
              <w:t xml:space="preserve">Internal</w:t>
            </w:r>
          </w:p>
        </w:tc>
        <w:tc>
          <w:tcPr>
            <w:tcW w:type="dxa" w:w="4160"/>
            <w:shd w:fill="F2F6F9" w:color="auto" w:val="clear"/>
            <w:tcMar>
              <w:top w:type="dxa" w:w="70"/>
              <w:left w:type="dxa" w:w="110"/>
              <w:bottom w:type="dxa" w:w="70"/>
              <w:right w:type="dxa" w:w="110"/>
            </w:tcMar>
            <w:vAlign w:val="center"/>
          </w:tcPr>
          <w:p>
            <w:pPr>
              <w:spacing w:after="0" w:line="264"/>
            </w:pPr>
            <w:r>
              <w:rPr>
                <w:color w:val="3C4A57"/>
                <w:sz w:val="19"/>
                <w:szCs w:val="19"/>
                <w:rFonts w:ascii="Calibri" w:cs="Calibri" w:eastAsia="Calibri" w:hAnsi="Calibri"/>
              </w:rPr>
              <w:t xml:space="preserve">Internal memos, non-sensitive plans, general operations</w:t>
            </w:r>
          </w:p>
        </w:tc>
        <w:tc>
          <w:tcPr>
            <w:tcW w:type="dxa" w:w="3500"/>
            <w:shd w:fill="F2F6F9" w:color="auto" w:val="clear"/>
            <w:tcMar>
              <w:top w:type="dxa" w:w="70"/>
              <w:left w:type="dxa" w:w="110"/>
              <w:bottom w:type="dxa" w:w="70"/>
              <w:right w:type="dxa" w:w="110"/>
            </w:tcMar>
            <w:vAlign w:val="center"/>
          </w:tcPr>
          <w:p>
            <w:pPr>
              <w:spacing w:after="0" w:line="264"/>
            </w:pPr>
            <w:r>
              <w:rPr>
                <w:color w:val="3C4A57"/>
                <w:sz w:val="19"/>
                <w:szCs w:val="19"/>
                <w:rFonts w:ascii="Calibri" w:cs="Calibri" w:eastAsia="Calibri" w:hAnsi="Calibri"/>
              </w:rPr>
              <w:t xml:space="preserve">Approved business-tier tools only</w:t>
            </w:r>
          </w:p>
        </w:tc>
      </w:tr>
      <w:tr>
        <w:trPr>
          <w:cantSplit/>
        </w:trPr>
        <w:tc>
          <w:tcPr>
            <w:tcW w:type="dxa" w:w="1700"/>
            <w:shd w:fill="FFFFFF" w:color="auto" w:val="clear"/>
            <w:tcMar>
              <w:top w:type="dxa" w:w="70"/>
              <w:left w:type="dxa" w:w="110"/>
              <w:bottom w:type="dxa" w:w="70"/>
              <w:right w:type="dxa" w:w="110"/>
            </w:tcMar>
            <w:vAlign w:val="center"/>
          </w:tcPr>
          <w:p>
            <w:pPr>
              <w:spacing w:after="0" w:line="264"/>
            </w:pPr>
            <w:r>
              <w:rPr>
                <w:b/>
                <w:bCs/>
                <w:color w:val="0C1622"/>
                <w:sz w:val="19"/>
                <w:szCs w:val="19"/>
                <w:rFonts w:ascii="Calibri" w:cs="Calibri" w:eastAsia="Calibri" w:hAnsi="Calibri"/>
              </w:rPr>
              <w:t xml:space="preserve">Confidential</w:t>
            </w:r>
          </w:p>
        </w:tc>
        <w:tc>
          <w:tcPr>
            <w:tcW w:type="dxa" w:w="4160"/>
            <w:shd w:fill="FFFFFF" w:color="auto" w:val="clear"/>
            <w:tcMar>
              <w:top w:type="dxa" w:w="70"/>
              <w:left w:type="dxa" w:w="110"/>
              <w:bottom w:type="dxa" w:w="70"/>
              <w:right w:type="dxa" w:w="110"/>
            </w:tcMar>
            <w:vAlign w:val="center"/>
          </w:tcPr>
          <w:p>
            <w:pPr>
              <w:spacing w:after="0" w:line="264"/>
            </w:pPr>
            <w:r>
              <w:rPr>
                <w:color w:val="3C4A57"/>
                <w:sz w:val="19"/>
                <w:szCs w:val="19"/>
                <w:rFonts w:ascii="Calibri" w:cs="Calibri" w:eastAsia="Calibri" w:hAnsi="Calibri"/>
              </w:rPr>
              <w:t xml:space="preserve">Contracts, pricing, strategy, non-regulated client info</w:t>
            </w:r>
          </w:p>
        </w:tc>
        <w:tc>
          <w:tcPr>
            <w:tcW w:type="dxa" w:w="3500"/>
            <w:shd w:fill="FFFFFF" w:color="auto" w:val="clear"/>
            <w:tcMar>
              <w:top w:type="dxa" w:w="70"/>
              <w:left w:type="dxa" w:w="110"/>
              <w:bottom w:type="dxa" w:w="70"/>
              <w:right w:type="dxa" w:w="110"/>
            </w:tcMar>
            <w:vAlign w:val="center"/>
          </w:tcPr>
          <w:p>
            <w:pPr>
              <w:spacing w:after="0" w:line="264"/>
            </w:pPr>
            <w:r>
              <w:rPr>
                <w:color w:val="3C4A57"/>
                <w:sz w:val="19"/>
                <w:szCs w:val="19"/>
                <w:rFonts w:ascii="Calibri" w:cs="Calibri" w:eastAsia="Calibri" w:hAnsi="Calibri"/>
              </w:rPr>
              <w:t xml:space="preserve">Only tools contractually cleared for confidential data</w:t>
            </w:r>
          </w:p>
        </w:tc>
      </w:tr>
      <w:tr>
        <w:trPr>
          <w:cantSplit/>
        </w:trPr>
        <w:tc>
          <w:tcPr>
            <w:tcW w:type="dxa" w:w="1700"/>
            <w:shd w:fill="F2F6F9" w:color="auto" w:val="clear"/>
            <w:tcMar>
              <w:top w:type="dxa" w:w="70"/>
              <w:left w:type="dxa" w:w="110"/>
              <w:bottom w:type="dxa" w:w="70"/>
              <w:right w:type="dxa" w:w="110"/>
            </w:tcMar>
            <w:vAlign w:val="center"/>
          </w:tcPr>
          <w:p>
            <w:pPr>
              <w:spacing w:after="0" w:line="264"/>
            </w:pPr>
            <w:r>
              <w:rPr>
                <w:b/>
                <w:bCs/>
                <w:color w:val="9B1C1C"/>
                <w:sz w:val="19"/>
                <w:szCs w:val="19"/>
                <w:rFonts w:ascii="Calibri" w:cs="Calibri" w:eastAsia="Calibri" w:hAnsi="Calibri"/>
              </w:rPr>
              <w:t xml:space="preserve">Regulated</w:t>
            </w:r>
          </w:p>
        </w:tc>
        <w:tc>
          <w:tcPr>
            <w:tcW w:type="dxa" w:w="4160"/>
            <w:shd w:fill="F2F6F9" w:color="auto" w:val="clear"/>
            <w:tcMar>
              <w:top w:type="dxa" w:w="70"/>
              <w:left w:type="dxa" w:w="110"/>
              <w:bottom w:type="dxa" w:w="70"/>
              <w:right w:type="dxa" w:w="110"/>
            </w:tcMar>
            <w:vAlign w:val="center"/>
          </w:tcPr>
          <w:p>
            <w:pPr>
              <w:spacing w:after="0" w:line="264"/>
            </w:pPr>
            <w:r>
              <w:rPr>
                <w:color w:val="3C4A57"/>
                <w:sz w:val="19"/>
                <w:szCs w:val="19"/>
                <w:rFonts w:ascii="Calibri" w:cs="Calibri" w:eastAsia="Calibri" w:hAnsi="Calibri"/>
              </w:rPr>
              <w:t xml:space="preserve">PHI (HIPAA), PII (GDPR/CCPA), card data (PCI), CJIS/CMMC</w:t>
            </w:r>
          </w:p>
        </w:tc>
        <w:tc>
          <w:tcPr>
            <w:tcW w:type="dxa" w:w="3500"/>
            <w:shd w:fill="F2F6F9" w:color="auto" w:val="clear"/>
            <w:tcMar>
              <w:top w:type="dxa" w:w="70"/>
              <w:left w:type="dxa" w:w="110"/>
              <w:bottom w:type="dxa" w:w="70"/>
              <w:right w:type="dxa" w:w="110"/>
            </w:tcMar>
            <w:vAlign w:val="center"/>
          </w:tcPr>
          <w:p>
            <w:pPr>
              <w:spacing w:after="0" w:line="264"/>
            </w:pPr>
            <w:r>
              <w:rPr>
                <w:color w:val="3C4A57"/>
                <w:sz w:val="19"/>
                <w:szCs w:val="19"/>
                <w:rFonts w:ascii="Calibri" w:cs="Calibri" w:eastAsia="Calibri" w:hAnsi="Calibri"/>
              </w:rPr>
              <w:t xml:space="preserve">Never in public or personal AI. Only in a cleared, compliant environment</w:t>
            </w:r>
          </w:p>
        </w:tc>
      </w:tr>
    </w:tbl>
    <w:p>
      <w:pPr>
        <w:spacing w:after="140" w:line="276" w:before="120"/>
      </w:pPr>
      <w:r>
        <w:rPr>
          <w:color w:val="3C4A57"/>
          <w:sz w:val="21"/>
          <w:szCs w:val="21"/>
          <w:rFonts w:ascii="Calibri" w:cs="Calibri" w:eastAsia="Calibri" w:hAnsi="Calibri"/>
        </w:rPr>
        <w:t xml:space="preserve">Map these tiers to the specific regimes you answer to (HIPAA, GDPR, CCPA, PCI-DSS, CMMC), so regulated data never reaches a tool that has not been cleared for it.</w:t>
      </w:r>
    </w:p>
    <w:p>
      <w:pPr>
        <w:spacing w:before="220" w:after="60"/>
      </w:pPr>
      <w:r>
        <w:rPr>
          <w:b/>
          <w:bCs/>
          <w:color w:val="12A5DB"/>
          <w:sz w:val="16"/>
          <w:szCs w:val="16"/>
          <w:caps/>
          <w:rFonts w:ascii="Calibri" w:cs="Calibri" w:eastAsia="Calibri" w:hAnsi="Calibri"/>
          <w:spacing w:val="30"/>
        </w:rPr>
        <w:t xml:space="preserve">Section 7</w:t>
      </w:r>
    </w:p>
    <w:p>
      <w:pPr>
        <w:pStyle w:val="Heading1"/>
        <w:keepNext/>
        <w:keepLines/>
        <w:spacing w:before="340" w:after="130"/>
      </w:pPr>
      <w:r>
        <w:rPr>
          <w:b/>
          <w:bCs/>
          <w:color w:val="0B2440"/>
          <w:sz w:val="30"/>
          <w:szCs w:val="30"/>
          <w:rFonts w:ascii="Calibri" w:cs="Calibri" w:eastAsia="Calibri" w:hAnsi="Calibri"/>
        </w:rPr>
        <w:t xml:space="preserve">7. Human review &amp; accountability</w:t>
      </w:r>
    </w:p>
    <w:p>
      <w:pPr>
        <w:pBdr>
          <w:bottom w:val="single" w:color="12A5DB" w:sz="6"/>
        </w:pBdr>
        <w:spacing w:before="60" w:after="160"/>
      </w:pPr>
    </w:p>
    <w:p>
      <w:pPr>
        <w:spacing w:after="140" w:line="276" w:before="0"/>
      </w:pPr>
      <w:r>
        <w:rPr>
          <w:color w:val="3C4A57"/>
          <w:sz w:val="21"/>
          <w:szCs w:val="21"/>
          <w:rFonts w:ascii="Calibri" w:cs="Calibri" w:eastAsia="Calibri" w:hAnsi="Calibri"/>
        </w:rPr>
        <w:t xml:space="preserve">A qualified person must review AI-generated output before it is sent to a client, filed, billed, published, or used in any decision about a person. The individual who signs, sends, or acts on the output owns the result — accountability stays with people, not the model.</w:t>
      </w:r>
    </w:p>
    <w:p>
      <w:pPr>
        <w:spacing w:before="220" w:after="60"/>
      </w:pPr>
      <w:r>
        <w:rPr>
          <w:b/>
          <w:bCs/>
          <w:color w:val="12A5DB"/>
          <w:sz w:val="16"/>
          <w:szCs w:val="16"/>
          <w:caps/>
          <w:rFonts w:ascii="Calibri" w:cs="Calibri" w:eastAsia="Calibri" w:hAnsi="Calibri"/>
          <w:spacing w:val="30"/>
        </w:rPr>
        <w:t xml:space="preserve">Section 8</w:t>
      </w:r>
    </w:p>
    <w:p>
      <w:pPr>
        <w:pStyle w:val="Heading1"/>
        <w:keepNext/>
        <w:keepLines/>
        <w:spacing w:before="340" w:after="130"/>
      </w:pPr>
      <w:r>
        <w:rPr>
          <w:b/>
          <w:bCs/>
          <w:color w:val="0B2440"/>
          <w:sz w:val="30"/>
          <w:szCs w:val="30"/>
          <w:rFonts w:ascii="Calibri" w:cs="Calibri" w:eastAsia="Calibri" w:hAnsi="Calibri"/>
        </w:rPr>
        <w:t xml:space="preserve">8. Third-party &amp; vendor requirements</w:t>
      </w:r>
    </w:p>
    <w:p>
      <w:pPr>
        <w:pBdr>
          <w:bottom w:val="single" w:color="12A5DB" w:sz="6"/>
        </w:pBdr>
        <w:spacing w:before="60" w:after="160"/>
      </w:pPr>
    </w:p>
    <w:p>
      <w:pPr>
        <w:spacing w:after="140" w:line="276" w:before="0"/>
      </w:pPr>
      <w:r>
        <w:rPr>
          <w:color w:val="3C4A57"/>
          <w:sz w:val="21"/>
          <w:szCs w:val="21"/>
          <w:rFonts w:ascii="Calibri" w:cs="Calibri" w:eastAsia="Calibri" w:hAnsi="Calibri"/>
        </w:rPr>
        <w:t xml:space="preserve">Your bookkeeper, marketing help, IT contractor, and software vendors all handle your data. Any one of them running it through their own ungoverned AI is exposure you inherit but cannot see. Every vendor that touches company data must confirm, in writing (see the vendor letter), that they:</w:t>
      </w:r>
    </w:p>
    <w:p>
      <w:pPr>
        <w:pStyle w:val="ListParagraph"/>
        <w:numPr>
          <w:ilvl w:val="0"/>
          <w:numId w:val="2"/>
        </w:numPr>
        <w:spacing w:after="90" w:line="272"/>
      </w:pPr>
      <w:r>
        <w:rPr>
          <w:color w:val="3C4A57"/>
          <w:sz w:val="21"/>
          <w:szCs w:val="21"/>
          <w:rFonts w:ascii="Calibri" w:cs="Calibri" w:eastAsia="Calibri" w:hAnsi="Calibri"/>
        </w:rPr>
        <w:t xml:space="preserve">Will not enter your data into public or personal AI tools;</w:t>
      </w:r>
    </w:p>
    <w:p>
      <w:pPr>
        <w:pStyle w:val="ListParagraph"/>
        <w:numPr>
          <w:ilvl w:val="0"/>
          <w:numId w:val="2"/>
        </w:numPr>
        <w:spacing w:after="90" w:line="272"/>
      </w:pPr>
      <w:r>
        <w:rPr>
          <w:color w:val="3C4A57"/>
          <w:sz w:val="21"/>
          <w:szCs w:val="21"/>
          <w:rFonts w:ascii="Calibri" w:cs="Calibri" w:eastAsia="Calibri" w:hAnsi="Calibri"/>
        </w:rPr>
        <w:t xml:space="preserve">Will not allow AI providers to train models on your data;</w:t>
      </w:r>
    </w:p>
    <w:p>
      <w:pPr>
        <w:pStyle w:val="ListParagraph"/>
        <w:numPr>
          <w:ilvl w:val="0"/>
          <w:numId w:val="2"/>
        </w:numPr>
        <w:spacing w:after="90" w:line="272"/>
      </w:pPr>
      <w:r>
        <w:rPr>
          <w:color w:val="3C4A57"/>
          <w:sz w:val="21"/>
          <w:szCs w:val="21"/>
          <w:rFonts w:ascii="Calibri" w:cs="Calibri" w:eastAsia="Calibri" w:hAnsi="Calibri"/>
        </w:rPr>
        <w:t xml:space="preserve">Isolate your data from their other customers;</w:t>
      </w:r>
    </w:p>
    <w:p>
      <w:pPr>
        <w:pStyle w:val="ListParagraph"/>
        <w:numPr>
          <w:ilvl w:val="0"/>
          <w:numId w:val="2"/>
        </w:numPr>
        <w:spacing w:after="90" w:line="272"/>
      </w:pPr>
      <w:r>
        <w:rPr>
          <w:color w:val="3C4A57"/>
          <w:sz w:val="21"/>
          <w:szCs w:val="21"/>
          <w:rFonts w:ascii="Calibri" w:cs="Calibri" w:eastAsia="Calibri" w:hAnsi="Calibri"/>
        </w:rPr>
        <w:t xml:space="preserve">Disclose any AI processing of your data and the tools involved;</w:t>
      </w:r>
    </w:p>
    <w:p>
      <w:pPr>
        <w:pStyle w:val="ListParagraph"/>
        <w:numPr>
          <w:ilvl w:val="0"/>
          <w:numId w:val="2"/>
        </w:numPr>
        <w:spacing w:after="90" w:line="272"/>
      </w:pPr>
      <w:r>
        <w:rPr>
          <w:color w:val="3C4A57"/>
          <w:sz w:val="21"/>
          <w:szCs w:val="21"/>
          <w:rFonts w:ascii="Calibri" w:cs="Calibri" w:eastAsia="Calibri" w:hAnsi="Calibri"/>
        </w:rPr>
        <w:t xml:space="preserve">Meet your data-residency requirements; and</w:t>
      </w:r>
    </w:p>
    <w:p>
      <w:pPr>
        <w:pStyle w:val="ListParagraph"/>
        <w:numPr>
          <w:ilvl w:val="0"/>
          <w:numId w:val="2"/>
        </w:numPr>
        <w:spacing w:after="90" w:line="272"/>
      </w:pPr>
      <w:r>
        <w:rPr>
          <w:color w:val="3C4A57"/>
          <w:sz w:val="21"/>
          <w:szCs w:val="21"/>
          <w:rFonts w:ascii="Calibri" w:cs="Calibri" w:eastAsia="Calibri" w:hAnsi="Calibri"/>
        </w:rPr>
        <w:t xml:space="preserve">Notify you promptly of any AI-related incident, and flow these terms down to their own subcontractors.</w:t>
      </w:r>
    </w:p>
    <w:p>
      <w:pPr>
        <w:spacing w:after="140" w:line="276" w:before="0"/>
      </w:pPr>
      <w:r>
        <w:rPr>
          <w:color w:val="3C4A57"/>
          <w:sz w:val="21"/>
          <w:szCs w:val="21"/>
          <w:rFonts w:ascii="Calibri" w:cs="Calibri" w:eastAsia="Calibri" w:hAnsi="Calibri"/>
        </w:rPr>
        <w:t xml:space="preserve">New AI vendors must be approved before they handle company data.</w:t>
      </w:r>
    </w:p>
    <w:p>
      <w:pPr>
        <w:spacing w:before="220" w:after="60"/>
      </w:pPr>
      <w:r>
        <w:rPr>
          <w:b/>
          <w:bCs/>
          <w:color w:val="12A5DB"/>
          <w:sz w:val="16"/>
          <w:szCs w:val="16"/>
          <w:caps/>
          <w:rFonts w:ascii="Calibri" w:cs="Calibri" w:eastAsia="Calibri" w:hAnsi="Calibri"/>
          <w:spacing w:val="30"/>
        </w:rPr>
        <w:t xml:space="preserve">Section 9</w:t>
      </w:r>
    </w:p>
    <w:p>
      <w:pPr>
        <w:pStyle w:val="Heading1"/>
        <w:keepNext/>
        <w:keepLines/>
        <w:spacing w:before="340" w:after="130"/>
      </w:pPr>
      <w:r>
        <w:rPr>
          <w:b/>
          <w:bCs/>
          <w:color w:val="0B2440"/>
          <w:sz w:val="30"/>
          <w:szCs w:val="30"/>
          <w:rFonts w:ascii="Calibri" w:cs="Calibri" w:eastAsia="Calibri" w:hAnsi="Calibri"/>
        </w:rPr>
        <w:t xml:space="preserve">9. Data handling, prompt hygiene &amp; residency</w:t>
      </w:r>
    </w:p>
    <w:p>
      <w:pPr>
        <w:pBdr>
          <w:bottom w:val="single" w:color="12A5DB" w:sz="6"/>
        </w:pBdr>
        <w:spacing w:before="60" w:after="160"/>
      </w:pPr>
    </w:p>
    <w:p>
      <w:pPr>
        <w:spacing w:after="140" w:line="276" w:before="0"/>
      </w:pPr>
      <w:r>
        <w:rPr>
          <w:b/>
          <w:bCs/>
          <w:color w:val="0C1622"/>
          <w:sz w:val="21"/>
          <w:szCs w:val="21"/>
          <w:rFonts w:ascii="Calibri" w:cs="Calibri" w:eastAsia="Calibri" w:hAnsi="Calibri"/>
        </w:rPr>
        <w:t xml:space="preserve">Prompt hygiene. </w:t>
      </w:r>
      <w:r>
        <w:rPr>
          <w:color w:val="3C4A57"/>
          <w:sz w:val="21"/>
          <w:szCs w:val="21"/>
          <w:rFonts w:ascii="Calibri" w:cs="Calibri" w:eastAsia="Calibri" w:hAnsi="Calibri"/>
        </w:rPr>
        <w:t xml:space="preserve">Put the minimum necessary into any AI tool. Default to redacted or synthetic data in prompts, never paste secrets, keys, credentials, or identifiable logs, and keep AI-assisted work products only in approved company repositories with the correct retention tags — not personal drives or email drafts.</w:t>
      </w:r>
    </w:p>
    <w:p>
      <w:pPr>
        <w:spacing w:after="140" w:line="276" w:before="0"/>
      </w:pPr>
      <w:r>
        <w:rPr>
          <w:color w:val="3C4A57"/>
          <w:sz w:val="21"/>
          <w:szCs w:val="21"/>
          <w:rFonts w:ascii="Calibri" w:cs="Calibri" w:eastAsia="Calibri" w:hAnsi="Calibri"/>
        </w:rPr>
        <w:t xml:space="preserve">AI tools that handle company data must operate under contractual terms the company has reviewed, must not retain your inputs beyond what is necessary to deliver the service, and must meet any residency requirements that apply to your jurisdiction or contracts (for example, US-only storage). Where regulated data is involved, the tool must be covered by the appropriate agreement (e.g., a HIPAA Business Associate Agreement) before any such data is processed.</w:t>
      </w:r>
    </w:p>
    <w:p>
      <w:pPr>
        <w:spacing w:before="220" w:after="60"/>
      </w:pPr>
      <w:r>
        <w:rPr>
          <w:b/>
          <w:bCs/>
          <w:color w:val="12A5DB"/>
          <w:sz w:val="16"/>
          <w:szCs w:val="16"/>
          <w:caps/>
          <w:rFonts w:ascii="Calibri" w:cs="Calibri" w:eastAsia="Calibri" w:hAnsi="Calibri"/>
          <w:spacing w:val="30"/>
        </w:rPr>
        <w:t xml:space="preserve">Section 10</w:t>
      </w:r>
    </w:p>
    <w:p>
      <w:pPr>
        <w:pStyle w:val="Heading1"/>
        <w:keepNext/>
        <w:keepLines/>
        <w:spacing w:before="340" w:after="130"/>
      </w:pPr>
      <w:r>
        <w:rPr>
          <w:b/>
          <w:bCs/>
          <w:color w:val="0B2440"/>
          <w:sz w:val="30"/>
          <w:szCs w:val="30"/>
          <w:rFonts w:ascii="Calibri" w:cs="Calibri" w:eastAsia="Calibri" w:hAnsi="Calibri"/>
        </w:rPr>
        <w:t xml:space="preserve">10. Monitoring &amp; enforcement</w:t>
      </w:r>
    </w:p>
    <w:p>
      <w:pPr>
        <w:pBdr>
          <w:bottom w:val="single" w:color="12A5DB" w:sz="6"/>
        </w:pBdr>
        <w:spacing w:before="60" w:after="160"/>
      </w:pPr>
    </w:p>
    <w:p>
      <w:pPr>
        <w:spacing w:after="140" w:line="276" w:before="0"/>
      </w:pPr>
      <w:r>
        <w:rPr>
          <w:b/>
          <w:bCs/>
          <w:color w:val="0C1622"/>
          <w:sz w:val="21"/>
          <w:szCs w:val="21"/>
          <w:rFonts w:ascii="Calibri" w:cs="Calibri" w:eastAsia="Calibri" w:hAnsi="Calibri"/>
        </w:rPr>
        <w:t xml:space="preserve">A policy you cannot see being followed is a hope, not a control. </w:t>
      </w:r>
      <w:r>
        <w:rPr>
          <w:color w:val="3C4A57"/>
          <w:sz w:val="21"/>
          <w:szCs w:val="21"/>
          <w:rFonts w:ascii="Calibri" w:cs="Calibri" w:eastAsia="Calibri" w:hAnsi="Calibri"/>
        </w:rPr>
        <w:t xml:space="preserve">Most organizations cannot produce a list, today, of every AI tool their team used this week — which means the usage they are worried about is the usage they cannot see.</w:t>
      </w:r>
    </w:p>
    <w:tbl>
      <w:tblPr>
        <w:tblW w:type="dxa" w:w="9360"/>
        <w:tblBorders>
          <w:top w:val="single" w:color="DCE4EA" w:sz="2"/>
          <w:left w:val="single" w:color="12A5DB" w:sz="24"/>
          <w:bottom w:val="single" w:color="DCE4EA" w:sz="2"/>
          <w:right w:val="single" w:color="DCE4EA" w:sz="2"/>
          <w:insideH w:val="none"/>
          <w:insideV w:val="none"/>
        </w:tblBorders>
      </w:tblPr>
      <w:tblGrid>
        <w:gridCol w:w="9360"/>
      </w:tblGrid>
      <w:tr>
        <w:trPr>
          <w:cantSplit/>
        </w:trPr>
        <w:tc>
          <w:tcPr>
            <w:tcW w:type="dxa" w:w="9360"/>
            <w:shd w:fill="F2F6F9" w:color="auto" w:val="clear"/>
            <w:tcMar>
              <w:top w:type="dxa" w:w="130"/>
              <w:left w:type="dxa" w:w="200"/>
              <w:bottom w:type="dxa" w:w="130"/>
              <w:right w:type="dxa" w:w="160"/>
            </w:tcMar>
          </w:tcPr>
          <w:p>
            <w:pPr>
              <w:spacing w:after="70"/>
            </w:pPr>
            <w:r>
              <w:rPr>
                <w:b/>
                <w:bCs/>
                <w:color w:val="0B2440"/>
                <w:sz w:val="17"/>
                <w:szCs w:val="17"/>
                <w:caps/>
                <w:rFonts w:ascii="Calibri" w:cs="Calibri" w:eastAsia="Calibri" w:hAnsi="Calibri"/>
                <w:spacing w:val="20"/>
              </w:rPr>
              <w:t xml:space="preserve">Shadow AI Discovery — included on every Fortify AI managed plan</w:t>
            </w:r>
          </w:p>
          <w:p>
            <w:pPr>
              <w:spacing w:after="80" w:line="272"/>
            </w:pPr>
            <w:r>
              <w:rPr>
                <w:b/>
                <w:bCs/>
                <w:color w:val="0B2440"/>
                <w:sz w:val="21"/>
                <w:szCs w:val="21"/>
                <w:rFonts w:ascii="Calibri" w:cs="Calibri" w:eastAsia="Calibri" w:hAnsi="Calibri"/>
              </w:rPr>
              <w:t xml:space="preserve">Visibility: </w:t>
            </w:r>
            <w:r>
              <w:rPr>
                <w:color w:val="0C1622"/>
                <w:sz w:val="21"/>
                <w:szCs w:val="21"/>
                <w:rFonts w:ascii="Calibri" w:cs="Calibri" w:eastAsia="Calibri" w:hAnsi="Calibri"/>
              </w:rPr>
              <w:t xml:space="preserve">see exactly which AI tools and LLMs your team is using, across company and personal accounts.</w:t>
            </w:r>
          </w:p>
          <w:p>
            <w:pPr>
              <w:spacing w:after="80" w:line="272"/>
            </w:pPr>
            <w:r>
              <w:rPr>
                <w:b/>
                <w:bCs/>
                <w:color w:val="0B2440"/>
                <w:sz w:val="21"/>
                <w:szCs w:val="21"/>
                <w:rFonts w:ascii="Calibri" w:cs="Calibri" w:eastAsia="Calibri" w:hAnsi="Calibri"/>
              </w:rPr>
              <w:t xml:space="preserve">Control: </w:t>
            </w:r>
            <w:r>
              <w:rPr>
                <w:color w:val="0C1622"/>
                <w:sz w:val="21"/>
                <w:szCs w:val="21"/>
                <w:rFonts w:ascii="Calibri" w:cs="Calibri" w:eastAsia="Calibri" w:hAnsi="Calibri"/>
              </w:rPr>
              <w:t xml:space="preserve">block specific or unapproved LLMs from being accessed at all — so sensitive data cannot leave through a tool you never approved.</w:t>
            </w:r>
          </w:p>
          <w:p>
            <w:pPr>
              <w:spacing w:after="0" w:line="272"/>
            </w:pPr>
            <w:r>
              <w:rPr>
                <w:b/>
                <w:bCs/>
                <w:color w:val="0B2440"/>
                <w:sz w:val="21"/>
                <w:szCs w:val="21"/>
                <w:rFonts w:ascii="Calibri" w:cs="Calibri" w:eastAsia="Calibri" w:hAnsi="Calibri"/>
              </w:rPr>
              <w:t xml:space="preserve">Enablement: </w:t>
            </w:r>
            <w:r>
              <w:rPr>
                <w:color w:val="0C1622"/>
                <w:sz w:val="21"/>
                <w:szCs w:val="21"/>
                <w:rFonts w:ascii="Calibri" w:cs="Calibri" w:eastAsia="Calibri" w:hAnsi="Calibri"/>
              </w:rPr>
              <w:t xml:space="preserve">keep the tools that help, shut off the ones that put you at risk, and give every employee an approved, compliant path that is also the convenient one.</w:t>
            </w:r>
          </w:p>
        </w:tc>
      </w:tr>
    </w:tbl>
    <w:p>
      <w:pPr>
        <w:spacing w:after="140" w:line="276" w:before="120"/>
      </w:pPr>
      <w:r>
        <w:rPr>
          <w:color w:val="3C4A57"/>
          <w:sz w:val="21"/>
          <w:szCs w:val="21"/>
          <w:rFonts w:ascii="Calibri" w:cs="Calibri" w:eastAsia="Calibri" w:hAnsi="Calibri"/>
        </w:rPr>
        <w:t xml:space="preserve">The compliant path must be the convenient path. When people have an approved tool that works, and unapproved tools are blocked, the policy enforces itself.</w:t>
      </w:r>
    </w:p>
    <w:p>
      <w:pPr>
        <w:spacing w:before="220" w:after="60"/>
      </w:pPr>
      <w:r>
        <w:rPr>
          <w:b/>
          <w:bCs/>
          <w:color w:val="12A5DB"/>
          <w:sz w:val="16"/>
          <w:szCs w:val="16"/>
          <w:caps/>
          <w:rFonts w:ascii="Calibri" w:cs="Calibri" w:eastAsia="Calibri" w:hAnsi="Calibri"/>
          <w:spacing w:val="30"/>
        </w:rPr>
        <w:t xml:space="preserve">Section 11</w:t>
      </w:r>
    </w:p>
    <w:p>
      <w:pPr>
        <w:pStyle w:val="Heading1"/>
        <w:keepNext/>
        <w:keepLines/>
        <w:spacing w:before="340" w:after="130"/>
      </w:pPr>
      <w:r>
        <w:rPr>
          <w:b/>
          <w:bCs/>
          <w:color w:val="0B2440"/>
          <w:sz w:val="30"/>
          <w:szCs w:val="30"/>
          <w:rFonts w:ascii="Calibri" w:cs="Calibri" w:eastAsia="Calibri" w:hAnsi="Calibri"/>
        </w:rPr>
        <w:t xml:space="preserve">11. Incident handling</w:t>
      </w:r>
    </w:p>
    <w:p>
      <w:pPr>
        <w:pBdr>
          <w:bottom w:val="single" w:color="12A5DB" w:sz="6"/>
        </w:pBdr>
        <w:spacing w:before="60" w:after="160"/>
      </w:pPr>
    </w:p>
    <w:p>
      <w:pPr>
        <w:spacing w:after="140" w:line="276" w:before="0"/>
      </w:pPr>
      <w:r>
        <w:rPr>
          <w:color w:val="3C4A57"/>
          <w:sz w:val="21"/>
          <w:szCs w:val="21"/>
          <w:rFonts w:ascii="Calibri" w:cs="Calibri" w:eastAsia="Calibri" w:hAnsi="Calibri"/>
        </w:rPr>
        <w:t xml:space="preserve">If sensitive data is exposed to an unapproved tool, report it promptly through [defined channel — e.g., report to the policy owner or IT]. The goal is fast containment, not blame; early reporting limits exposure. The policy owner logs the incident, coordinates containment, and ties into the company’s existing breach-response process where regulated data is involved.</w:t>
      </w:r>
    </w:p>
    <w:p>
      <w:pPr>
        <w:spacing w:after="140" w:line="276" w:before="0"/>
      </w:pPr>
      <w:r>
        <w:rPr>
          <w:color w:val="3C4A57"/>
          <w:sz w:val="21"/>
          <w:szCs w:val="21"/>
          <w:rFonts w:ascii="Calibri" w:cs="Calibri" w:eastAsia="Calibri" w:hAnsi="Calibri"/>
        </w:rPr>
        <w:t xml:space="preserve">Where a contract or law requires it, notify the affected client or authority within the required window — commonly </w:t>
      </w:r>
      <w:r>
        <w:rPr>
          <w:b/>
          <w:bCs/>
          <w:color w:val="0C1622"/>
          <w:sz w:val="21"/>
          <w:szCs w:val="21"/>
          <w:rFonts w:ascii="Calibri" w:cs="Calibri" w:eastAsia="Calibri" w:hAnsi="Calibri"/>
        </w:rPr>
        <w:t xml:space="preserve">within 72 hours of confirming a material event.</w:t>
      </w:r>
      <w:r>
        <w:rPr>
          <w:color w:val="3C4A57"/>
          <w:sz w:val="21"/>
          <w:szCs w:val="21"/>
          <w:rFonts w:ascii="Calibri" w:cs="Calibri" w:eastAsia="Calibri" w:hAnsi="Calibri"/>
        </w:rPr>
        <w:t xml:space="preserve"> Treat misrouting of client data into a non-approved AI tool as a reportable security incident.</w:t>
      </w:r>
    </w:p>
    <w:p>
      <w:pPr>
        <w:spacing w:before="220" w:after="60"/>
      </w:pPr>
      <w:r>
        <w:rPr>
          <w:b/>
          <w:bCs/>
          <w:color w:val="12A5DB"/>
          <w:sz w:val="16"/>
          <w:szCs w:val="16"/>
          <w:caps/>
          <w:rFonts w:ascii="Calibri" w:cs="Calibri" w:eastAsia="Calibri" w:hAnsi="Calibri"/>
          <w:spacing w:val="30"/>
        </w:rPr>
        <w:t xml:space="preserve">Section 12</w:t>
      </w:r>
    </w:p>
    <w:p>
      <w:pPr>
        <w:pStyle w:val="Heading1"/>
        <w:keepNext/>
        <w:keepLines/>
        <w:spacing w:before="340" w:after="130"/>
      </w:pPr>
      <w:r>
        <w:rPr>
          <w:b/>
          <w:bCs/>
          <w:color w:val="0B2440"/>
          <w:sz w:val="30"/>
          <w:szCs w:val="30"/>
          <w:rFonts w:ascii="Calibri" w:cs="Calibri" w:eastAsia="Calibri" w:hAnsi="Calibri"/>
        </w:rPr>
        <w:t xml:space="preserve">12. Training &amp; enablement</w:t>
      </w:r>
    </w:p>
    <w:p>
      <w:pPr>
        <w:pBdr>
          <w:bottom w:val="single" w:color="12A5DB" w:sz="6"/>
        </w:pBdr>
        <w:spacing w:before="60" w:after="160"/>
      </w:pPr>
    </w:p>
    <w:p>
      <w:pPr>
        <w:spacing w:after="140" w:line="276" w:before="0"/>
      </w:pPr>
      <w:r>
        <w:rPr>
          <w:color w:val="3C4A57"/>
          <w:sz w:val="21"/>
          <w:szCs w:val="21"/>
          <w:rFonts w:ascii="Calibri" w:cs="Calibri" w:eastAsia="Calibri" w:hAnsi="Calibri"/>
        </w:rPr>
        <w:t xml:space="preserve">Skill with AI is the difference between a toy and a tool. Every employee should receive practical coaching on using approved tools well and safely — how to write effective prompts, when to keep a human in the loop, and how to apply the data-classification rules. New hires complete this as part of onboarding.</w:t>
      </w:r>
    </w:p>
    <w:p>
      <w:pPr>
        <w:spacing w:before="220" w:after="60"/>
      </w:pPr>
      <w:r>
        <w:rPr>
          <w:b/>
          <w:bCs/>
          <w:color w:val="12A5DB"/>
          <w:sz w:val="16"/>
          <w:szCs w:val="16"/>
          <w:caps/>
          <w:rFonts w:ascii="Calibri" w:cs="Calibri" w:eastAsia="Calibri" w:hAnsi="Calibri"/>
          <w:spacing w:val="30"/>
        </w:rPr>
        <w:t xml:space="preserve">Section 13</w:t>
      </w:r>
    </w:p>
    <w:p>
      <w:pPr>
        <w:pStyle w:val="Heading1"/>
        <w:keepNext/>
        <w:keepLines/>
        <w:spacing w:before="340" w:after="130"/>
      </w:pPr>
      <w:r>
        <w:rPr>
          <w:b/>
          <w:bCs/>
          <w:color w:val="0B2440"/>
          <w:sz w:val="30"/>
          <w:szCs w:val="30"/>
          <w:rFonts w:ascii="Calibri" w:cs="Calibri" w:eastAsia="Calibri" w:hAnsi="Calibri"/>
        </w:rPr>
        <w:t xml:space="preserve">13. Ownership, review &amp; version control</w:t>
      </w:r>
    </w:p>
    <w:p>
      <w:pPr>
        <w:pBdr>
          <w:bottom w:val="single" w:color="12A5DB" w:sz="6"/>
        </w:pBdr>
        <w:spacing w:before="60" w:after="160"/>
      </w:pPr>
    </w:p>
    <w:p>
      <w:pPr>
        <w:spacing w:after="140" w:line="276" w:before="0"/>
      </w:pPr>
      <w:r>
        <w:rPr>
          <w:color w:val="3C4A57"/>
          <w:sz w:val="21"/>
          <w:szCs w:val="21"/>
          <w:rFonts w:ascii="Calibri" w:cs="Calibri" w:eastAsia="Calibri" w:hAnsi="Calibri"/>
        </w:rPr>
        <w:t xml:space="preserve">The named policy owner maintains this document and the approved-tools list. The policy is reviewed at least every six months, and immediately after any material change in tools, regulation, or an incident. Each version is dated and numbered so everyone knows they are reading the current rules.</w:t>
      </w:r>
    </w:p>
    <w:p>
      <w:r>
        <w:br w:type="page"/>
      </w:r>
    </w:p>
    <w:p>
      <w:pPr>
        <w:spacing w:before="220" w:after="60"/>
      </w:pPr>
      <w:r>
        <w:rPr>
          <w:b/>
          <w:bCs/>
          <w:color w:val="12A5DB"/>
          <w:sz w:val="16"/>
          <w:szCs w:val="16"/>
          <w:caps/>
          <w:rFonts w:ascii="Calibri" w:cs="Calibri" w:eastAsia="Calibri" w:hAnsi="Calibri"/>
          <w:spacing w:val="30"/>
        </w:rPr>
        <w:t xml:space="preserve">Appendix A</w:t>
      </w:r>
    </w:p>
    <w:p>
      <w:pPr>
        <w:pStyle w:val="Heading1"/>
        <w:keepNext/>
        <w:keepLines/>
        <w:spacing w:before="340" w:after="130"/>
      </w:pPr>
      <w:r>
        <w:rPr>
          <w:b/>
          <w:bCs/>
          <w:color w:val="0B2440"/>
          <w:sz w:val="30"/>
          <w:szCs w:val="30"/>
          <w:rFonts w:ascii="Calibri" w:cs="Calibri" w:eastAsia="Calibri" w:hAnsi="Calibri"/>
        </w:rPr>
        <w:t xml:space="preserve">Appendix A — Data classification quick reference</w:t>
      </w:r>
    </w:p>
    <w:p>
      <w:pPr>
        <w:pBdr>
          <w:bottom w:val="single" w:color="12A5DB" w:sz="6"/>
        </w:pBdr>
        <w:spacing w:before="60" w:after="160"/>
      </w:pPr>
    </w:p>
    <w:p>
      <w:pPr>
        <w:spacing w:after="140" w:line="276" w:before="0"/>
      </w:pPr>
      <w:r>
        <w:rPr>
          <w:color w:val="3C4A57"/>
          <w:sz w:val="21"/>
          <w:szCs w:val="21"/>
          <w:rFonts w:ascii="Calibri" w:cs="Calibri" w:eastAsia="Calibri" w:hAnsi="Calibri"/>
        </w:rPr>
        <w:t xml:space="preserve">Print this and keep it where people work. When in doubt, classify up.</w:t>
      </w:r>
    </w:p>
    <w:tbl>
      <w:tblPr>
        <w:tblW w:type="dxa" w:w="9360"/>
        <w:tblBorders>
          <w:top w:val="single" w:color="DCE4EA" w:sz="2"/>
          <w:left w:val="single" w:color="DCE4EA" w:sz="2"/>
          <w:bottom w:val="single" w:color="DCE4EA" w:sz="2"/>
          <w:right w:val="single" w:color="DCE4EA" w:sz="2"/>
          <w:insideH w:val="single" w:color="DCE4EA" w:sz="2"/>
          <w:insideV w:val="single" w:color="DCE4EA" w:sz="2"/>
        </w:tblBorders>
      </w:tblPr>
      <w:tblGrid>
        <w:gridCol w:w="4680"/>
        <w:gridCol w:w="4680"/>
      </w:tblGrid>
      <w:tr>
        <w:trPr>
          <w:cantSplit/>
          <w:tblHeader/>
        </w:trPr>
        <w:tc>
          <w:tcPr>
            <w:tcW w:type="dxa" w:w="4680"/>
            <w:shd w:fill="0B2440" w:color="auto" w:val="clear"/>
            <w:tcMar>
              <w:top w:type="dxa" w:w="70"/>
              <w:left w:type="dxa" w:w="110"/>
              <w:bottom w:type="dxa" w:w="70"/>
              <w:right w:type="dxa" w:w="110"/>
            </w:tcMar>
            <w:vAlign w:val="center"/>
          </w:tcPr>
          <w:p>
            <w:pPr>
              <w:spacing w:after="0" w:line="264"/>
            </w:pPr>
            <w:r>
              <w:rPr>
                <w:b/>
                <w:bCs/>
                <w:color w:val="FFFFFF"/>
                <w:sz w:val="19"/>
                <w:szCs w:val="19"/>
                <w:rFonts w:ascii="Calibri" w:cs="Calibri" w:eastAsia="Calibri" w:hAnsi="Calibri"/>
              </w:rPr>
              <w:t xml:space="preserve">If the information is…</w:t>
            </w:r>
          </w:p>
        </w:tc>
        <w:tc>
          <w:tcPr>
            <w:tcW w:type="dxa" w:w="4680"/>
            <w:shd w:fill="0B2440" w:color="auto" w:val="clear"/>
            <w:tcMar>
              <w:top w:type="dxa" w:w="70"/>
              <w:left w:type="dxa" w:w="110"/>
              <w:bottom w:type="dxa" w:w="70"/>
              <w:right w:type="dxa" w:w="110"/>
            </w:tcMar>
            <w:vAlign w:val="center"/>
          </w:tcPr>
          <w:p>
            <w:pPr>
              <w:spacing w:after="0" w:line="264"/>
            </w:pPr>
            <w:r>
              <w:rPr>
                <w:b/>
                <w:bCs/>
                <w:color w:val="FFFFFF"/>
                <w:sz w:val="19"/>
                <w:szCs w:val="19"/>
                <w:rFonts w:ascii="Calibri" w:cs="Calibri" w:eastAsia="Calibri" w:hAnsi="Calibri"/>
              </w:rPr>
              <w:t xml:space="preserve">Then…</w:t>
            </w:r>
          </w:p>
        </w:tc>
      </w:tr>
      <w:tr>
        <w:trPr>
          <w:cantSplit/>
        </w:trPr>
        <w:tc>
          <w:tcPr>
            <w:tcW w:type="dxa" w:w="4680"/>
            <w:shd w:fill="FFFFFF" w:color="auto" w:val="clear"/>
            <w:tcMar>
              <w:top w:type="dxa" w:w="70"/>
              <w:left w:type="dxa" w:w="110"/>
              <w:bottom w:type="dxa" w:w="70"/>
              <w:right w:type="dxa" w:w="110"/>
            </w:tcMar>
            <w:vAlign w:val="center"/>
          </w:tcPr>
          <w:p>
            <w:pPr>
              <w:spacing w:after="0" w:line="264"/>
            </w:pPr>
            <w:r>
              <w:rPr>
                <w:color w:val="0C1622"/>
                <w:sz w:val="19"/>
                <w:szCs w:val="19"/>
                <w:rFonts w:ascii="Calibri" w:cs="Calibri" w:eastAsia="Calibri" w:hAnsi="Calibri"/>
              </w:rPr>
              <w:t xml:space="preserve">Already public</w:t>
            </w:r>
          </w:p>
        </w:tc>
        <w:tc>
          <w:tcPr>
            <w:tcW w:type="dxa" w:w="4680"/>
            <w:shd w:fill="FFFFFF" w:color="auto" w:val="clear"/>
            <w:tcMar>
              <w:top w:type="dxa" w:w="70"/>
              <w:left w:type="dxa" w:w="110"/>
              <w:bottom w:type="dxa" w:w="70"/>
              <w:right w:type="dxa" w:w="110"/>
            </w:tcMar>
            <w:vAlign w:val="center"/>
          </w:tcPr>
          <w:p>
            <w:pPr>
              <w:spacing w:after="0" w:line="264"/>
            </w:pPr>
            <w:r>
              <w:rPr>
                <w:color w:val="3C4A57"/>
                <w:sz w:val="19"/>
                <w:szCs w:val="19"/>
                <w:rFonts w:ascii="Calibri" w:cs="Calibri" w:eastAsia="Calibri" w:hAnsi="Calibri"/>
              </w:rPr>
              <w:t xml:space="preserve">Any approved tool is fine</w:t>
            </w:r>
          </w:p>
        </w:tc>
      </w:tr>
      <w:tr>
        <w:trPr>
          <w:cantSplit/>
        </w:trPr>
        <w:tc>
          <w:tcPr>
            <w:tcW w:type="dxa" w:w="4680"/>
            <w:shd w:fill="F2F6F9" w:color="auto" w:val="clear"/>
            <w:tcMar>
              <w:top w:type="dxa" w:w="70"/>
              <w:left w:type="dxa" w:w="110"/>
              <w:bottom w:type="dxa" w:w="70"/>
              <w:right w:type="dxa" w:w="110"/>
            </w:tcMar>
            <w:vAlign w:val="center"/>
          </w:tcPr>
          <w:p>
            <w:pPr>
              <w:spacing w:after="0" w:line="264"/>
            </w:pPr>
            <w:r>
              <w:rPr>
                <w:color w:val="0C1622"/>
                <w:sz w:val="19"/>
                <w:szCs w:val="19"/>
                <w:rFonts w:ascii="Calibri" w:cs="Calibri" w:eastAsia="Calibri" w:hAnsi="Calibri"/>
              </w:rPr>
              <w:t xml:space="preserve">Internal but not sensitive</w:t>
            </w:r>
          </w:p>
        </w:tc>
        <w:tc>
          <w:tcPr>
            <w:tcW w:type="dxa" w:w="4680"/>
            <w:shd w:fill="F2F6F9" w:color="auto" w:val="clear"/>
            <w:tcMar>
              <w:top w:type="dxa" w:w="70"/>
              <w:left w:type="dxa" w:w="110"/>
              <w:bottom w:type="dxa" w:w="70"/>
              <w:right w:type="dxa" w:w="110"/>
            </w:tcMar>
            <w:vAlign w:val="center"/>
          </w:tcPr>
          <w:p>
            <w:pPr>
              <w:spacing w:after="0" w:line="264"/>
            </w:pPr>
            <w:r>
              <w:rPr>
                <w:color w:val="3C4A57"/>
                <w:sz w:val="19"/>
                <w:szCs w:val="19"/>
                <w:rFonts w:ascii="Calibri" w:cs="Calibri" w:eastAsia="Calibri" w:hAnsi="Calibri"/>
              </w:rPr>
              <w:t xml:space="preserve">Approved business-tier tools only</w:t>
            </w:r>
          </w:p>
        </w:tc>
      </w:tr>
      <w:tr>
        <w:trPr>
          <w:cantSplit/>
        </w:trPr>
        <w:tc>
          <w:tcPr>
            <w:tcW w:type="dxa" w:w="4680"/>
            <w:shd w:fill="FFFFFF" w:color="auto" w:val="clear"/>
            <w:tcMar>
              <w:top w:type="dxa" w:w="70"/>
              <w:left w:type="dxa" w:w="110"/>
              <w:bottom w:type="dxa" w:w="70"/>
              <w:right w:type="dxa" w:w="110"/>
            </w:tcMar>
            <w:vAlign w:val="center"/>
          </w:tcPr>
          <w:p>
            <w:pPr>
              <w:spacing w:after="0" w:line="264"/>
            </w:pPr>
            <w:r>
              <w:rPr>
                <w:color w:val="0C1622"/>
                <w:sz w:val="19"/>
                <w:szCs w:val="19"/>
                <w:rFonts w:ascii="Calibri" w:cs="Calibri" w:eastAsia="Calibri" w:hAnsi="Calibri"/>
              </w:rPr>
              <w:t xml:space="preserve">Confidential (contracts, pricing, client info)</w:t>
            </w:r>
          </w:p>
        </w:tc>
        <w:tc>
          <w:tcPr>
            <w:tcW w:type="dxa" w:w="4680"/>
            <w:shd w:fill="FFFFFF" w:color="auto" w:val="clear"/>
            <w:tcMar>
              <w:top w:type="dxa" w:w="70"/>
              <w:left w:type="dxa" w:w="110"/>
              <w:bottom w:type="dxa" w:w="70"/>
              <w:right w:type="dxa" w:w="110"/>
            </w:tcMar>
            <w:vAlign w:val="center"/>
          </w:tcPr>
          <w:p>
            <w:pPr>
              <w:spacing w:after="0" w:line="264"/>
            </w:pPr>
            <w:r>
              <w:rPr>
                <w:color w:val="3C4A57"/>
                <w:sz w:val="19"/>
                <w:szCs w:val="19"/>
                <w:rFonts w:ascii="Calibri" w:cs="Calibri" w:eastAsia="Calibri" w:hAnsi="Calibri"/>
              </w:rPr>
              <w:t xml:space="preserve">Only tools cleared for confidential data</w:t>
            </w:r>
          </w:p>
        </w:tc>
      </w:tr>
      <w:tr>
        <w:trPr>
          <w:cantSplit/>
        </w:trPr>
        <w:tc>
          <w:tcPr>
            <w:tcW w:type="dxa" w:w="4680"/>
            <w:shd w:fill="F2F6F9" w:color="auto" w:val="clear"/>
            <w:tcMar>
              <w:top w:type="dxa" w:w="70"/>
              <w:left w:type="dxa" w:w="110"/>
              <w:bottom w:type="dxa" w:w="70"/>
              <w:right w:type="dxa" w:w="110"/>
            </w:tcMar>
            <w:vAlign w:val="center"/>
          </w:tcPr>
          <w:p>
            <w:pPr>
              <w:spacing w:after="0" w:line="264"/>
            </w:pPr>
            <w:r>
              <w:rPr>
                <w:b/>
                <w:bCs/>
                <w:color w:val="9B1C1C"/>
                <w:sz w:val="19"/>
                <w:szCs w:val="19"/>
                <w:rFonts w:ascii="Calibri" w:cs="Calibri" w:eastAsia="Calibri" w:hAnsi="Calibri"/>
              </w:rPr>
              <w:t xml:space="preserve">Regulated (PHI, PII, card, government)</w:t>
            </w:r>
          </w:p>
        </w:tc>
        <w:tc>
          <w:tcPr>
            <w:tcW w:type="dxa" w:w="4680"/>
            <w:shd w:fill="F2F6F9" w:color="auto" w:val="clear"/>
            <w:tcMar>
              <w:top w:type="dxa" w:w="70"/>
              <w:left w:type="dxa" w:w="110"/>
              <w:bottom w:type="dxa" w:w="70"/>
              <w:right w:type="dxa" w:w="110"/>
            </w:tcMar>
            <w:vAlign w:val="center"/>
          </w:tcPr>
          <w:p>
            <w:pPr>
              <w:spacing w:after="0" w:line="264"/>
            </w:pPr>
            <w:r>
              <w:rPr>
                <w:b/>
                <w:bCs/>
                <w:color w:val="0C1622"/>
                <w:sz w:val="19"/>
                <w:szCs w:val="19"/>
                <w:rFonts w:ascii="Calibri" w:cs="Calibri" w:eastAsia="Calibri" w:hAnsi="Calibri"/>
              </w:rPr>
              <w:t xml:space="preserve">Never in public/personal AI — cleared, compliant environment only</w:t>
            </w:r>
          </w:p>
        </w:tc>
      </w:tr>
    </w:tbl>
    <w:p>
      <w:r>
        <w:br w:type="page"/>
      </w:r>
    </w:p>
    <w:p>
      <w:pPr>
        <w:spacing w:before="220" w:after="60"/>
      </w:pPr>
      <w:r>
        <w:rPr>
          <w:b/>
          <w:bCs/>
          <w:color w:val="12A5DB"/>
          <w:sz w:val="16"/>
          <w:szCs w:val="16"/>
          <w:caps/>
          <w:rFonts w:ascii="Calibri" w:cs="Calibri" w:eastAsia="Calibri" w:hAnsi="Calibri"/>
          <w:spacing w:val="30"/>
        </w:rPr>
        <w:t xml:space="preserve">Appendix B</w:t>
      </w:r>
    </w:p>
    <w:p>
      <w:pPr>
        <w:pStyle w:val="Heading1"/>
        <w:keepNext/>
        <w:keepLines/>
        <w:spacing w:before="340" w:after="130"/>
      </w:pPr>
      <w:r>
        <w:rPr>
          <w:b/>
          <w:bCs/>
          <w:color w:val="0B2440"/>
          <w:sz w:val="30"/>
          <w:szCs w:val="30"/>
          <w:rFonts w:ascii="Calibri" w:cs="Calibri" w:eastAsia="Calibri" w:hAnsi="Calibri"/>
        </w:rPr>
        <w:t xml:space="preserve">Appendix B — Governing standards &amp; laws</w:t>
      </w:r>
    </w:p>
    <w:p>
      <w:pPr>
        <w:pBdr>
          <w:bottom w:val="single" w:color="12A5DB" w:sz="6"/>
        </w:pBdr>
        <w:spacing w:before="60" w:after="160"/>
      </w:pPr>
    </w:p>
    <w:p>
      <w:pPr>
        <w:spacing w:after="140" w:line="276" w:before="0"/>
      </w:pPr>
      <w:r>
        <w:rPr>
          <w:color w:val="3C4A57"/>
          <w:sz w:val="21"/>
          <w:szCs w:val="21"/>
          <w:rFonts w:ascii="Calibri" w:cs="Calibri" w:eastAsia="Calibri" w:hAnsi="Calibri"/>
        </w:rPr>
        <w:t xml:space="preserve">This policy is written to align with the frameworks and laws below. Map the ones that apply to your organization; your counsel confirms the final list.</w:t>
      </w:r>
    </w:p>
    <w:tbl>
      <w:tblPr>
        <w:tblW w:type="dxa" w:w="9360"/>
        <w:tblBorders>
          <w:top w:val="single" w:color="DCE4EA" w:sz="2"/>
          <w:left w:val="single" w:color="DCE4EA" w:sz="2"/>
          <w:bottom w:val="single" w:color="DCE4EA" w:sz="2"/>
          <w:right w:val="single" w:color="DCE4EA" w:sz="2"/>
          <w:insideH w:val="single" w:color="DCE4EA" w:sz="2"/>
          <w:insideV w:val="single" w:color="DCE4EA" w:sz="2"/>
        </w:tblBorders>
      </w:tblPr>
      <w:tblGrid>
        <w:gridCol w:w="2400"/>
        <w:gridCol w:w="6960"/>
      </w:tblGrid>
      <w:tr>
        <w:trPr>
          <w:cantSplit/>
          <w:tblHeader/>
        </w:trPr>
        <w:tc>
          <w:tcPr>
            <w:tcW w:type="dxa" w:w="2400"/>
            <w:shd w:fill="0B2440" w:color="auto" w:val="clear"/>
            <w:tcMar>
              <w:top w:type="dxa" w:w="70"/>
              <w:left w:type="dxa" w:w="110"/>
              <w:bottom w:type="dxa" w:w="70"/>
              <w:right w:type="dxa" w:w="110"/>
            </w:tcMar>
            <w:vAlign w:val="center"/>
          </w:tcPr>
          <w:p>
            <w:pPr>
              <w:spacing w:after="0" w:line="264"/>
            </w:pPr>
            <w:r>
              <w:rPr>
                <w:b/>
                <w:bCs/>
                <w:color w:val="FFFFFF"/>
                <w:sz w:val="19"/>
                <w:szCs w:val="19"/>
                <w:rFonts w:ascii="Calibri" w:cs="Calibri" w:eastAsia="Calibri" w:hAnsi="Calibri"/>
              </w:rPr>
              <w:t xml:space="preserve">Area</w:t>
            </w:r>
          </w:p>
        </w:tc>
        <w:tc>
          <w:tcPr>
            <w:tcW w:type="dxa" w:w="6960"/>
            <w:shd w:fill="0B2440" w:color="auto" w:val="clear"/>
            <w:tcMar>
              <w:top w:type="dxa" w:w="70"/>
              <w:left w:type="dxa" w:w="110"/>
              <w:bottom w:type="dxa" w:w="70"/>
              <w:right w:type="dxa" w:w="110"/>
            </w:tcMar>
            <w:vAlign w:val="center"/>
          </w:tcPr>
          <w:p>
            <w:pPr>
              <w:spacing w:after="0" w:line="264"/>
            </w:pPr>
            <w:r>
              <w:rPr>
                <w:b/>
                <w:bCs/>
                <w:color w:val="FFFFFF"/>
                <w:sz w:val="19"/>
                <w:szCs w:val="19"/>
                <w:rFonts w:ascii="Calibri" w:cs="Calibri" w:eastAsia="Calibri" w:hAnsi="Calibri"/>
              </w:rPr>
              <w:t xml:space="preserve">Standards / laws we align to</w:t>
            </w:r>
          </w:p>
        </w:tc>
      </w:tr>
      <w:tr>
        <w:trPr>
          <w:cantSplit/>
        </w:trPr>
        <w:tc>
          <w:tcPr>
            <w:tcW w:type="dxa" w:w="2400"/>
            <w:shd w:fill="FFFFFF" w:color="auto" w:val="clear"/>
            <w:tcMar>
              <w:top w:type="dxa" w:w="70"/>
              <w:left w:type="dxa" w:w="110"/>
              <w:bottom w:type="dxa" w:w="70"/>
              <w:right w:type="dxa" w:w="110"/>
            </w:tcMar>
            <w:vAlign w:val="center"/>
          </w:tcPr>
          <w:p>
            <w:pPr>
              <w:spacing w:after="0" w:line="264"/>
            </w:pPr>
            <w:r>
              <w:rPr>
                <w:color w:val="0C1622"/>
                <w:sz w:val="19"/>
                <w:szCs w:val="19"/>
                <w:rFonts w:ascii="Calibri" w:cs="Calibri" w:eastAsia="Calibri" w:hAnsi="Calibri"/>
              </w:rPr>
              <w:t xml:space="preserve">Privacy</w:t>
            </w:r>
          </w:p>
        </w:tc>
        <w:tc>
          <w:tcPr>
            <w:tcW w:type="dxa" w:w="6960"/>
            <w:shd w:fill="FFFFFF" w:color="auto" w:val="clear"/>
            <w:tcMar>
              <w:top w:type="dxa" w:w="70"/>
              <w:left w:type="dxa" w:w="110"/>
              <w:bottom w:type="dxa" w:w="70"/>
              <w:right w:type="dxa" w:w="110"/>
            </w:tcMar>
            <w:vAlign w:val="center"/>
          </w:tcPr>
          <w:p>
            <w:pPr>
              <w:spacing w:after="0" w:line="264"/>
            </w:pPr>
            <w:r>
              <w:rPr>
                <w:color w:val="3C4A57"/>
                <w:sz w:val="19"/>
                <w:szCs w:val="19"/>
                <w:rFonts w:ascii="Calibri" w:cs="Calibri" w:eastAsia="Calibri" w:hAnsi="Calibri"/>
              </w:rPr>
              <w:t xml:space="preserve">CPRA / CCPA (service-provider &amp; contractor obligations), GLBA (financial), HIPAA (health), state breach-notification laws</w:t>
            </w:r>
          </w:p>
        </w:tc>
      </w:tr>
      <w:tr>
        <w:trPr>
          <w:cantSplit/>
        </w:trPr>
        <w:tc>
          <w:tcPr>
            <w:tcW w:type="dxa" w:w="2400"/>
            <w:shd w:fill="F2F6F9" w:color="auto" w:val="clear"/>
            <w:tcMar>
              <w:top w:type="dxa" w:w="70"/>
              <w:left w:type="dxa" w:w="110"/>
              <w:bottom w:type="dxa" w:w="70"/>
              <w:right w:type="dxa" w:w="110"/>
            </w:tcMar>
            <w:vAlign w:val="center"/>
          </w:tcPr>
          <w:p>
            <w:pPr>
              <w:spacing w:after="0" w:line="264"/>
            </w:pPr>
            <w:r>
              <w:rPr>
                <w:color w:val="0C1622"/>
                <w:sz w:val="19"/>
                <w:szCs w:val="19"/>
                <w:rFonts w:ascii="Calibri" w:cs="Calibri" w:eastAsia="Calibri" w:hAnsi="Calibri"/>
              </w:rPr>
              <w:t xml:space="preserve">Security &amp; assurance</w:t>
            </w:r>
          </w:p>
        </w:tc>
        <w:tc>
          <w:tcPr>
            <w:tcW w:type="dxa" w:w="6960"/>
            <w:shd w:fill="F2F6F9" w:color="auto" w:val="clear"/>
            <w:tcMar>
              <w:top w:type="dxa" w:w="70"/>
              <w:left w:type="dxa" w:w="110"/>
              <w:bottom w:type="dxa" w:w="70"/>
              <w:right w:type="dxa" w:w="110"/>
            </w:tcMar>
            <w:vAlign w:val="center"/>
          </w:tcPr>
          <w:p>
            <w:pPr>
              <w:spacing w:after="0" w:line="264"/>
            </w:pPr>
            <w:r>
              <w:rPr>
                <w:color w:val="3C4A57"/>
                <w:sz w:val="19"/>
                <w:szCs w:val="19"/>
                <w:rFonts w:ascii="Calibri" w:cs="Calibri" w:eastAsia="Calibri" w:hAnsi="Calibri"/>
              </w:rPr>
              <w:t xml:space="preserve">SOC 2 / ISO 27001, NIST Cybersecurity Framework</w:t>
            </w:r>
          </w:p>
        </w:tc>
      </w:tr>
      <w:tr>
        <w:trPr>
          <w:cantSplit/>
        </w:trPr>
        <w:tc>
          <w:tcPr>
            <w:tcW w:type="dxa" w:w="2400"/>
            <w:shd w:fill="FFFFFF" w:color="auto" w:val="clear"/>
            <w:tcMar>
              <w:top w:type="dxa" w:w="70"/>
              <w:left w:type="dxa" w:w="110"/>
              <w:bottom w:type="dxa" w:w="70"/>
              <w:right w:type="dxa" w:w="110"/>
            </w:tcMar>
            <w:vAlign w:val="center"/>
          </w:tcPr>
          <w:p>
            <w:pPr>
              <w:spacing w:after="0" w:line="264"/>
            </w:pPr>
            <w:r>
              <w:rPr>
                <w:color w:val="0C1622"/>
                <w:sz w:val="19"/>
                <w:szCs w:val="19"/>
                <w:rFonts w:ascii="Calibri" w:cs="Calibri" w:eastAsia="Calibri" w:hAnsi="Calibri"/>
              </w:rPr>
              <w:t xml:space="preserve">AI governance</w:t>
            </w:r>
          </w:p>
        </w:tc>
        <w:tc>
          <w:tcPr>
            <w:tcW w:type="dxa" w:w="6960"/>
            <w:shd w:fill="FFFFFF" w:color="auto" w:val="clear"/>
            <w:tcMar>
              <w:top w:type="dxa" w:w="70"/>
              <w:left w:type="dxa" w:w="110"/>
              <w:bottom w:type="dxa" w:w="70"/>
              <w:right w:type="dxa" w:w="110"/>
            </w:tcMar>
            <w:vAlign w:val="center"/>
          </w:tcPr>
          <w:p>
            <w:pPr>
              <w:spacing w:after="0" w:line="264"/>
            </w:pPr>
            <w:r>
              <w:rPr>
                <w:color w:val="3C4A57"/>
                <w:sz w:val="19"/>
                <w:szCs w:val="19"/>
                <w:rFonts w:ascii="Calibri" w:cs="Calibri" w:eastAsia="Calibri" w:hAnsi="Calibri"/>
              </w:rPr>
              <w:t xml:space="preserve">NIST AI Risk Management Framework 1.0 &amp; Generative AI Profile; Microsoft Responsible AI Standard (as an external benchmark)</w:t>
            </w:r>
          </w:p>
        </w:tc>
      </w:tr>
      <w:tr>
        <w:trPr>
          <w:cantSplit/>
        </w:trPr>
        <w:tc>
          <w:tcPr>
            <w:tcW w:type="dxa" w:w="2400"/>
            <w:shd w:fill="F2F6F9" w:color="auto" w:val="clear"/>
            <w:tcMar>
              <w:top w:type="dxa" w:w="70"/>
              <w:left w:type="dxa" w:w="110"/>
              <w:bottom w:type="dxa" w:w="70"/>
              <w:right w:type="dxa" w:w="110"/>
            </w:tcMar>
            <w:vAlign w:val="center"/>
          </w:tcPr>
          <w:p>
            <w:pPr>
              <w:spacing w:after="0" w:line="264"/>
            </w:pPr>
            <w:r>
              <w:rPr>
                <w:color w:val="0C1622"/>
                <w:sz w:val="19"/>
                <w:szCs w:val="19"/>
                <w:rFonts w:ascii="Calibri" w:cs="Calibri" w:eastAsia="Calibri" w:hAnsi="Calibri"/>
              </w:rPr>
              <w:t xml:space="preserve">Sector overlays (if applicable)</w:t>
            </w:r>
          </w:p>
        </w:tc>
        <w:tc>
          <w:tcPr>
            <w:tcW w:type="dxa" w:w="6960"/>
            <w:shd w:fill="F2F6F9" w:color="auto" w:val="clear"/>
            <w:tcMar>
              <w:top w:type="dxa" w:w="70"/>
              <w:left w:type="dxa" w:w="110"/>
              <w:bottom w:type="dxa" w:w="70"/>
              <w:right w:type="dxa" w:w="110"/>
            </w:tcMar>
            <w:vAlign w:val="center"/>
          </w:tcPr>
          <w:p>
            <w:pPr>
              <w:spacing w:after="0" w:line="264"/>
            </w:pPr>
            <w:r>
              <w:rPr>
                <w:color w:val="3C4A57"/>
                <w:sz w:val="19"/>
                <w:szCs w:val="19"/>
                <w:rFonts w:ascii="Calibri" w:cs="Calibri" w:eastAsia="Calibri" w:hAnsi="Calibri"/>
              </w:rPr>
              <w:t xml:space="preserve">CJIS (public safety), PCI DSS (payment), CMMC (defense), and any customer-mandated frameworks</w:t>
            </w:r>
          </w:p>
        </w:tc>
      </w:tr>
    </w:tbl>
    <w:p>
      <w:pPr>
        <w:spacing w:after="140" w:line="276" w:before="120"/>
      </w:pPr>
      <w:r>
        <w:rPr>
          <w:b/>
          <w:bCs/>
          <w:color w:val="0C1622"/>
          <w:sz w:val="21"/>
          <w:szCs w:val="21"/>
          <w:rFonts w:ascii="Calibri" w:cs="Calibri" w:eastAsia="Calibri" w:hAnsi="Calibri"/>
        </w:rPr>
        <w:t xml:space="preserve">Enterprise data boundaries. </w:t>
      </w:r>
      <w:r>
        <w:rPr>
          <w:color w:val="3C4A57"/>
          <w:sz w:val="21"/>
          <w:szCs w:val="21"/>
          <w:rFonts w:ascii="Calibri" w:cs="Calibri" w:eastAsia="Calibri" w:hAnsi="Calibri"/>
        </w:rPr>
        <w:t xml:space="preserve">When an enterprise AI service is approved after assessment, it must be configured so that prompts and outputs are not used to train foundation models, data stays within the service boundary under company SSO/MFA and DLP, and consumer endpoints are disabled for work accounts. These properties are documented by major providers (Microsoft 365 Copilot, Azure OpenAI, Amazon Bedrock, Google Cloud) and should be verified per tenant.</w:t>
      </w:r>
    </w:p>
    <w:p>
      <w:r>
        <w:br w:type="page"/>
      </w:r>
    </w:p>
    <w:p>
      <w:pPr>
        <w:spacing w:before="220" w:after="60"/>
      </w:pPr>
      <w:r>
        <w:rPr>
          <w:b/>
          <w:bCs/>
          <w:color w:val="12A5DB"/>
          <w:sz w:val="16"/>
          <w:szCs w:val="16"/>
          <w:caps/>
          <w:rFonts w:ascii="Calibri" w:cs="Calibri" w:eastAsia="Calibri" w:hAnsi="Calibri"/>
          <w:spacing w:val="30"/>
        </w:rPr>
        <w:t xml:space="preserve">Important</w:t>
      </w:r>
    </w:p>
    <w:p>
      <w:pPr>
        <w:pStyle w:val="Heading1"/>
        <w:keepNext/>
        <w:keepLines/>
        <w:spacing w:before="340" w:after="130"/>
      </w:pPr>
      <w:r>
        <w:rPr>
          <w:b/>
          <w:bCs/>
          <w:color w:val="0B2440"/>
          <w:sz w:val="30"/>
          <w:szCs w:val="30"/>
          <w:rFonts w:ascii="Calibri" w:cs="Calibri" w:eastAsia="Calibri" w:hAnsi="Calibri"/>
        </w:rPr>
        <w:t xml:space="preserve">Important — read before using this framework</w:t>
      </w:r>
    </w:p>
    <w:p>
      <w:pPr>
        <w:pBdr>
          <w:bottom w:val="single" w:color="12A5DB" w:sz="6"/>
        </w:pBdr>
        <w:spacing w:before="60" w:after="160"/>
      </w:pPr>
    </w:p>
    <w:tbl>
      <w:tblPr>
        <w:tblW w:type="dxa" w:w="9360"/>
        <w:tblBorders>
          <w:top w:val="single" w:color="DCE4EA" w:sz="2"/>
          <w:left w:val="single" w:color="12A5DB" w:sz="24"/>
          <w:bottom w:val="single" w:color="DCE4EA" w:sz="2"/>
          <w:right w:val="single" w:color="DCE4EA" w:sz="2"/>
          <w:insideH w:val="none"/>
          <w:insideV w:val="none"/>
        </w:tblBorders>
      </w:tblPr>
      <w:tblGrid>
        <w:gridCol w:w="9360"/>
      </w:tblGrid>
      <w:tr>
        <w:trPr>
          <w:cantSplit/>
        </w:trPr>
        <w:tc>
          <w:tcPr>
            <w:tcW w:type="dxa" w:w="9360"/>
            <w:shd w:fill="F2F6F9" w:color="auto" w:val="clear"/>
            <w:tcMar>
              <w:top w:type="dxa" w:w="130"/>
              <w:left w:type="dxa" w:w="200"/>
              <w:bottom w:type="dxa" w:w="130"/>
              <w:right w:type="dxa" w:w="160"/>
            </w:tcMar>
          </w:tcPr>
          <w:p>
            <w:pPr>
              <w:spacing w:after="70"/>
            </w:pPr>
            <w:r>
              <w:rPr>
                <w:b/>
                <w:bCs/>
                <w:color w:val="0B2440"/>
                <w:sz w:val="17"/>
                <w:szCs w:val="17"/>
                <w:caps/>
                <w:rFonts w:ascii="Calibri" w:cs="Calibri" w:eastAsia="Calibri" w:hAnsi="Calibri"/>
                <w:spacing w:val="20"/>
              </w:rPr>
              <w:t xml:space="preserve">This is a template and a guideline — not legal advice</w:t>
            </w:r>
          </w:p>
          <w:p>
            <w:pPr>
              <w:spacing w:after="80" w:line="272"/>
            </w:pPr>
            <w:r>
              <w:rPr>
                <w:color w:val="0C1622"/>
                <w:sz w:val="21"/>
                <w:szCs w:val="21"/>
                <w:rFonts w:ascii="Calibri" w:cs="Calibri" w:eastAsia="Calibri" w:hAnsi="Calibri"/>
              </w:rPr>
              <w:t xml:space="preserve">This document is a framework and template provided for general informational purposes only. It is not legal advice and does not create an attorney-client relationship.</w:t>
            </w:r>
          </w:p>
          <w:p>
            <w:pPr>
              <w:spacing w:after="80" w:line="272"/>
            </w:pPr>
            <w:r>
              <w:rPr>
                <w:color w:val="0C1622"/>
                <w:sz w:val="21"/>
                <w:szCs w:val="21"/>
                <w:rFonts w:ascii="Calibri" w:cs="Calibri" w:eastAsia="Calibri" w:hAnsi="Calibri"/>
              </w:rPr>
              <w:t xml:space="preserve">Before editing, deploying, distributing, or relying on any part of it, review it with your own qualified legal team. Confirm it meets the standards and requirements of your organization, your jurisdiction, your industry or vertical, and any certifications or regulatory frameworks that apply to you — for example HIPAA, GLBA, PCI DSS, CJIS, SOC 2, ISO 27001, and CPRA/CCPA.</w:t>
            </w:r>
          </w:p>
          <w:p>
            <w:pPr>
              <w:spacing w:after="80" w:line="272"/>
            </w:pPr>
            <w:r>
              <w:rPr>
                <w:color w:val="0C1622"/>
                <w:sz w:val="21"/>
                <w:szCs w:val="21"/>
                <w:rFonts w:ascii="Calibri" w:cs="Calibri" w:eastAsia="Calibri" w:hAnsi="Calibri"/>
              </w:rPr>
              <w:t xml:space="preserve">You may need to add, remove, or revise provisions — including specific language, tools, and obligations — for this document to be accurate, compliant, and enforceable for your organization. If any part of it conflicts with an executed agreement or with applicable law, that agreement or law controls.</w:t>
            </w:r>
          </w:p>
          <w:p>
            <w:pPr>
              <w:spacing w:after="0" w:line="272"/>
            </w:pPr>
            <w:r>
              <w:rPr>
                <w:b/>
                <w:bCs/>
                <w:color w:val="0B2440"/>
                <w:sz w:val="21"/>
                <w:szCs w:val="21"/>
                <w:rFonts w:ascii="Calibri" w:cs="Calibri" w:eastAsia="Calibri" w:hAnsi="Calibri"/>
              </w:rPr>
              <w:t xml:space="preserve">Artificial intelligence, the tools that deliver it, and the laws that govern it are evolving rapidly. Review and update this document regularly; we recommend revisiting it monthly.</w:t>
            </w:r>
          </w:p>
        </w:tc>
      </w:tr>
    </w:tbl>
    <w:p>
      <w:pPr>
        <w:spacing w:before="200"/>
      </w:pPr>
      <w:r>
        <w:rPr>
          <w:i/>
          <w:iCs/>
          <w:color w:val="6B7C8B"/>
          <w:sz w:val="17"/>
          <w:szCs w:val="17"/>
          <w:rFonts w:ascii="Calibri" w:cs="Calibri" w:eastAsia="Calibri" w:hAnsi="Calibri"/>
        </w:rPr>
        <w:t xml:space="preserve">Issued August 18, 2026  ·  Version 1.0  ·  Provided by Fortify AI  ·  Not legal advice.</w:t>
      </w:r>
    </w:p>
    <w:sectPr>
      <w:footerReference w:type="default" r:id="rId6"/>
      <w:pgSz w:w="12240" w:h="15840" w:orient="portrait"/>
      <w:pgMar w:top="1440" w:right="1440" w:bottom="126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CE4EA" w:sz="2"/>
      </w:pBdr>
      <w:spacing w:before="80"/>
    </w:pPr>
    <w:r>
      <w:rPr>
        <w:color w:val="6B7C8B"/>
        <w:sz w:val="15"/>
        <w:szCs w:val="15"/>
        <w:rFonts w:ascii="Calibri" w:cs="Calibri" w:eastAsia="Calibri" w:hAnsi="Calibri"/>
      </w:rPr>
      <w:t xml:space="preserve">FORTIFY AI</w:t>
    </w:r>
    <w:r>
      <w:rPr>
        <w:color w:val="6B7C8B"/>
        <w:sz w:val="15"/>
        <w:szCs w:val="15"/>
        <w:rFonts w:ascii="Calibri" w:cs="Calibri" w:eastAsia="Calibri" w:hAnsi="Calibri"/>
      </w:rPr>
      <w:ptab w:alignment="center" w:relativeTo="margin" w:leader="none"/>
    </w:r>
    <w:r>
      <w:rPr>
        <w:color w:val="6B7C8B"/>
        <w:sz w:val="15"/>
        <w:szCs w:val="15"/>
        <w:rFonts w:ascii="Calibri" w:cs="Calibri" w:eastAsia="Calibri" w:hAnsi="Calibri"/>
      </w:rPr>
      <w:t xml:space="preserve">AI Usage Policy &amp; Governance Framework</w:t>
    </w:r>
    <w:r>
      <w:rPr>
        <w:color w:val="6B7C8B"/>
        <w:sz w:val="15"/>
        <w:szCs w:val="15"/>
        <w:rFonts w:ascii="Calibri" w:cs="Calibri" w:eastAsia="Calibri" w:hAnsi="Calibri"/>
      </w:rPr>
      <w:ptab w:alignment="right" w:relativeTo="margin" w:leader="none"/>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20"/>
      </w:pPr>
      <w:rPr>
        <w:color w:val="12A5DB"/>
      </w:rPr>
    </w:lvl>
  </w:abstractNum>
  <w:abstractNum w:abstractNumId="3" w15:restartNumberingAfterBreak="0">
    <w:multiLevelType w:val="hybridMultilevel"/>
    <w:lvl w:ilvl="0" w15:tentative="1">
      <w:start w:val="1"/>
      <w:numFmt w:val="decimal"/>
      <w:lvlText w:val="%1."/>
      <w:lvlJc w:val="left"/>
      <w:pPr>
        <w:ind w:left="360" w:hanging="260"/>
      </w:pPr>
      <w:rPr>
        <w:b/>
        <w:bCs/>
        <w:color w:val="0B2440"/>
      </w:rPr>
    </w:lvl>
  </w:abstractNum>
  <w:abstractNum w:abstractNumId="4" w15:restartNumberingAfterBreak="0">
    <w:multiLevelType w:val="hybridMultilevel"/>
    <w:lvl w:ilvl="0" w15:tentative="1">
      <w:start w:val="1"/>
      <w:numFmt w:val="decimal"/>
      <w:lvlText w:val="%1."/>
      <w:lvlJc w:val="left"/>
      <w:pPr>
        <w:ind w:left="400" w:hanging="300"/>
      </w:pPr>
      <w:rPr>
        <w:b/>
        <w:bCs/>
        <w:color w:val="0B2440"/>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3C4A57"/>
        <w:sz w:val="21"/>
        <w:szCs w:val="21"/>
        <w:rFonts w:ascii="Calibri" w:cs="Calibri" w:eastAsia="Calibri" w:hAnsi="Calibri"/>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oter" Target="footer1.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2026-08-19T04:54:01.579Z</dcterms:created>
  <dcterms:modified xsi:type="dcterms:W3CDTF">2026-08-19T04:54:01.586Z</dcterms:modified>
</cp:coreProperties>
</file>

<file path=docProps/custom.xml><?xml version="1.0" encoding="utf-8"?>
<Properties xmlns="http://schemas.openxmlformats.org/officeDocument/2006/custom-properties" xmlns:vt="http://schemas.openxmlformats.org/officeDocument/2006/docPropsVTypes"/>
</file>